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2AD" w:rsidRPr="000C196D" w:rsidRDefault="005E42AD" w:rsidP="005E42AD">
      <w:pPr>
        <w:ind w:left="-540" w:right="-360"/>
        <w:jc w:val="center"/>
        <w:rPr>
          <w:i/>
        </w:rPr>
      </w:pPr>
    </w:p>
    <w:p w:rsidR="005E42AD" w:rsidRPr="000C196D" w:rsidRDefault="006D2DBC" w:rsidP="005E42AD">
      <w:pPr>
        <w:ind w:left="-540" w:right="-360"/>
        <w:rPr>
          <w:i/>
        </w:rPr>
      </w:pPr>
      <w:r w:rsidRPr="006D2DBC">
        <w:rPr>
          <w:i/>
          <w:noProof/>
          <w:lang w:eastAsia="bs-Latn-B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3.15pt;margin-top:-10.3pt;width:153pt;height:111.2pt;z-index:-251658240">
            <v:imagedata r:id="rId7" o:title=""/>
            <w10:anchorlock/>
          </v:shape>
          <o:OLEObject Type="Embed" ProgID="CorelPHOTOPAINT.Image.13" ShapeID="_x0000_s1026" DrawAspect="Content" ObjectID="_1688386732" r:id="rId8"/>
        </w:pict>
      </w:r>
    </w:p>
    <w:p w:rsidR="005E42AD" w:rsidRPr="000C196D" w:rsidRDefault="005E42AD" w:rsidP="005E42AD">
      <w:pPr>
        <w:ind w:left="-540" w:right="-360"/>
        <w:rPr>
          <w:i/>
        </w:rPr>
      </w:pPr>
    </w:p>
    <w:p w:rsidR="005E42AD" w:rsidRPr="000C196D" w:rsidRDefault="005E42AD" w:rsidP="005E42AD">
      <w:pPr>
        <w:ind w:left="-540" w:right="-360"/>
        <w:rPr>
          <w:i/>
        </w:rPr>
      </w:pPr>
    </w:p>
    <w:p w:rsidR="005E42AD" w:rsidRPr="000C196D" w:rsidRDefault="005E42AD" w:rsidP="005E42AD">
      <w:pPr>
        <w:ind w:left="-540" w:right="-360"/>
        <w:rPr>
          <w:i/>
        </w:rPr>
      </w:pPr>
    </w:p>
    <w:p w:rsidR="005E42AD" w:rsidRPr="000C196D" w:rsidRDefault="005E42AD" w:rsidP="005E42AD">
      <w:pPr>
        <w:ind w:left="-540" w:right="-360"/>
        <w:rPr>
          <w:i/>
        </w:rPr>
      </w:pPr>
    </w:p>
    <w:p w:rsidR="005E42AD" w:rsidRDefault="005E42AD" w:rsidP="005E42AD">
      <w:pPr>
        <w:ind w:left="-540" w:right="-360"/>
        <w:rPr>
          <w:i/>
        </w:rPr>
      </w:pPr>
    </w:p>
    <w:p w:rsidR="005E42AD" w:rsidRDefault="005E42AD" w:rsidP="005E42AD">
      <w:pPr>
        <w:ind w:left="-540" w:right="-360"/>
        <w:rPr>
          <w:i/>
        </w:rPr>
      </w:pPr>
    </w:p>
    <w:p w:rsidR="005E42AD" w:rsidRDefault="005E42AD" w:rsidP="005E42AD">
      <w:pPr>
        <w:ind w:left="-540" w:right="-360"/>
        <w:rPr>
          <w:i/>
        </w:rPr>
      </w:pPr>
    </w:p>
    <w:p w:rsidR="005E42AD" w:rsidRPr="000C196D" w:rsidRDefault="005E42AD" w:rsidP="005E42AD">
      <w:pPr>
        <w:ind w:left="-540" w:right="-360"/>
        <w:rPr>
          <w:i/>
        </w:rPr>
      </w:pPr>
    </w:p>
    <w:p w:rsidR="005E42AD" w:rsidRPr="000C196D" w:rsidRDefault="005E42AD" w:rsidP="005E42AD">
      <w:pPr>
        <w:ind w:left="-540" w:right="-360"/>
        <w:rPr>
          <w:i/>
        </w:rPr>
      </w:pPr>
      <w:r w:rsidRPr="000C196D">
        <w:rPr>
          <w:i/>
        </w:rPr>
        <w:tab/>
      </w:r>
      <w:r w:rsidRPr="000C196D">
        <w:rPr>
          <w:i/>
        </w:rPr>
        <w:tab/>
      </w:r>
    </w:p>
    <w:p w:rsidR="005E42AD" w:rsidRDefault="005E42AD" w:rsidP="005E42AD">
      <w:pPr>
        <w:spacing w:after="0"/>
        <w:jc w:val="center"/>
        <w:rPr>
          <w:rFonts w:ascii="Garamond" w:hAnsi="Garamond"/>
          <w:b/>
          <w:sz w:val="28"/>
          <w:szCs w:val="28"/>
        </w:rPr>
      </w:pPr>
      <w:r w:rsidRPr="0094224A">
        <w:rPr>
          <w:rFonts w:ascii="Garamond" w:hAnsi="Garamond"/>
          <w:b/>
          <w:sz w:val="28"/>
          <w:szCs w:val="28"/>
        </w:rPr>
        <w:t>IZVJEŠ</w:t>
      </w:r>
      <w:r>
        <w:rPr>
          <w:rFonts w:ascii="Garamond" w:hAnsi="Garamond"/>
          <w:b/>
          <w:sz w:val="28"/>
          <w:szCs w:val="28"/>
        </w:rPr>
        <w:t>TAJ</w:t>
      </w:r>
      <w:r w:rsidRPr="0094224A">
        <w:rPr>
          <w:rFonts w:ascii="Garamond" w:hAnsi="Garamond"/>
          <w:b/>
          <w:sz w:val="28"/>
          <w:szCs w:val="28"/>
        </w:rPr>
        <w:t xml:space="preserve"> O MONITORINGU RADA </w:t>
      </w:r>
    </w:p>
    <w:p w:rsidR="005E42AD" w:rsidRDefault="005E42AD" w:rsidP="005E42AD">
      <w:pPr>
        <w:spacing w:after="0"/>
        <w:jc w:val="center"/>
        <w:rPr>
          <w:rFonts w:ascii="Garamond" w:hAnsi="Garamond"/>
          <w:b/>
          <w:sz w:val="28"/>
          <w:szCs w:val="28"/>
        </w:rPr>
      </w:pPr>
    </w:p>
    <w:p w:rsidR="005E42AD" w:rsidRPr="0094224A" w:rsidRDefault="005E42AD" w:rsidP="005E42AD">
      <w:pPr>
        <w:spacing w:after="0"/>
        <w:jc w:val="center"/>
        <w:rPr>
          <w:rFonts w:ascii="Garamond" w:hAnsi="Garamond"/>
          <w:b/>
          <w:sz w:val="28"/>
          <w:szCs w:val="28"/>
        </w:rPr>
      </w:pPr>
      <w:r>
        <w:rPr>
          <w:rFonts w:ascii="Garamond" w:hAnsi="Garamond"/>
          <w:b/>
          <w:sz w:val="28"/>
          <w:szCs w:val="28"/>
        </w:rPr>
        <w:t>OPĆINSKOG VIJEĆA ZAVIDOVIĆI</w:t>
      </w:r>
    </w:p>
    <w:p w:rsidR="005E42AD" w:rsidRPr="0094224A" w:rsidRDefault="005E42AD" w:rsidP="005E42AD">
      <w:pPr>
        <w:spacing w:after="0"/>
        <w:jc w:val="center"/>
        <w:rPr>
          <w:rFonts w:ascii="Garamond" w:hAnsi="Garamond"/>
          <w:b/>
          <w:sz w:val="28"/>
          <w:szCs w:val="28"/>
        </w:rPr>
      </w:pPr>
      <w:r>
        <w:rPr>
          <w:rFonts w:ascii="Garamond" w:hAnsi="Garamond"/>
          <w:b/>
          <w:sz w:val="28"/>
          <w:szCs w:val="28"/>
        </w:rPr>
        <w:t>1.1.2021</w:t>
      </w:r>
      <w:r w:rsidRPr="0094224A">
        <w:rPr>
          <w:rFonts w:ascii="Garamond" w:hAnsi="Garamond"/>
          <w:b/>
          <w:sz w:val="28"/>
          <w:szCs w:val="28"/>
        </w:rPr>
        <w:t xml:space="preserve">. </w:t>
      </w:r>
      <w:r>
        <w:rPr>
          <w:rFonts w:ascii="Garamond" w:hAnsi="Garamond"/>
          <w:b/>
          <w:sz w:val="28"/>
          <w:szCs w:val="28"/>
        </w:rPr>
        <w:t>–30.6.2021.</w:t>
      </w:r>
    </w:p>
    <w:p w:rsidR="005E42AD" w:rsidRDefault="005E42AD" w:rsidP="005E42AD">
      <w:r>
        <w:br w:type="page"/>
      </w:r>
    </w:p>
    <w:p w:rsidR="005E42AD" w:rsidRPr="000C3374" w:rsidRDefault="005E42AD" w:rsidP="005E42AD">
      <w:pPr>
        <w:pStyle w:val="Naslov1"/>
        <w:shd w:val="clear" w:color="auto" w:fill="0F243E"/>
        <w:spacing w:before="0" w:line="240" w:lineRule="auto"/>
        <w:jc w:val="right"/>
        <w:rPr>
          <w:rFonts w:ascii="Arial" w:hAnsi="Arial" w:cs="Arial"/>
          <w:color w:val="FFFFFF"/>
          <w:sz w:val="24"/>
          <w:szCs w:val="24"/>
        </w:rPr>
      </w:pPr>
      <w:r w:rsidRPr="00935222">
        <w:rPr>
          <w:rFonts w:ascii="Arial" w:hAnsi="Arial" w:cs="Arial"/>
          <w:color w:val="FFFFFF"/>
          <w:sz w:val="24"/>
          <w:szCs w:val="24"/>
        </w:rPr>
        <w:lastRenderedPageBreak/>
        <w:t>UVOD</w:t>
      </w:r>
      <w:r w:rsidRPr="00935222">
        <w:rPr>
          <w:rFonts w:ascii="Arial" w:hAnsi="Arial" w:cs="Arial"/>
          <w:color w:val="FFFFFF"/>
          <w:sz w:val="24"/>
          <w:szCs w:val="24"/>
        </w:rPr>
        <w:tab/>
      </w:r>
    </w:p>
    <w:p w:rsidR="005E42AD" w:rsidRDefault="005E42AD" w:rsidP="005E42AD"/>
    <w:p w:rsidR="00A402C3" w:rsidRPr="009F5736" w:rsidRDefault="00A402C3" w:rsidP="00A402C3">
      <w:pPr>
        <w:jc w:val="both"/>
      </w:pPr>
      <w:r w:rsidRPr="009F5736">
        <w:t>Cilj projekta jeste da kroz monitoring institucija vlasti da objektivnu sliku stanja unutar određene lokalne samouprave, odnosno prikaže efektivnost rada, te omogući javni dijalog i mehanizme participacije javnosti (primarno mladih) u donošenju odluka na lokalnom nivou.</w:t>
      </w:r>
    </w:p>
    <w:p w:rsidR="00A402C3" w:rsidRPr="009F5736" w:rsidRDefault="00A402C3" w:rsidP="00A402C3">
      <w:pPr>
        <w:jc w:val="both"/>
      </w:pPr>
      <w:r w:rsidRPr="009F5736">
        <w:t>Metodologija monitoringa rada jedinica lokalne samouprave, gradova i općina u Bosni i Hercegovini, odnosno u pripadajućim entitetima, daje pregled izvora podataka i načina njihovog prikupljanja, kao i njihove obrade, te daje pregled posmatranih i analiziranih parametara.</w:t>
      </w:r>
    </w:p>
    <w:p w:rsidR="00A402C3" w:rsidRPr="009F5736" w:rsidRDefault="00A402C3" w:rsidP="00A402C3">
      <w:pPr>
        <w:jc w:val="both"/>
      </w:pPr>
      <w:r w:rsidRPr="009F5736">
        <w:t xml:space="preserve">Prikupljanje potrebnih podataka o radu institucija jedinica lokalne samouprave odvija se kontinuirano, od početka aktuelnog mandata, za prvih šest mjeseci. </w:t>
      </w:r>
    </w:p>
    <w:p w:rsidR="00A402C3" w:rsidRPr="009F5736" w:rsidRDefault="00A402C3" w:rsidP="00A402C3">
      <w:pPr>
        <w:jc w:val="both"/>
      </w:pPr>
      <w:r w:rsidRPr="009F5736">
        <w:t xml:space="preserve">Podaci o radu institucija vlasti prikupljaju se na dva načina. Kroz zvanična dokumenta, preuzimanje podataka iz javno dostupnih dokumenata (kap što je budžet, izvještaj o radu i sl.), te slanjem ZOSPI (Zakon o slobodi pristupa informacijama) obrazaca. Ali i neposrednim praćenjem sjednica lokalnih parlamenata. Prikupljeni podaci će se u kontinuitetu unositi u predviđenu on line bazu. </w:t>
      </w:r>
    </w:p>
    <w:p w:rsidR="00A402C3" w:rsidRPr="009F5736" w:rsidRDefault="00A402C3" w:rsidP="00A402C3">
      <w:pPr>
        <w:jc w:val="both"/>
      </w:pPr>
    </w:p>
    <w:p w:rsidR="00A402C3" w:rsidRPr="009F5736" w:rsidRDefault="00A402C3" w:rsidP="00A402C3">
      <w:pPr>
        <w:jc w:val="center"/>
        <w:rPr>
          <w:b/>
        </w:rPr>
      </w:pPr>
      <w:r w:rsidRPr="009F5736">
        <w:rPr>
          <w:b/>
        </w:rPr>
        <w:t>OPĆINSKO VIJEĆE TREBA DA RAZMATRA MJERE OD SUŠTINSKOG ZNAČAJA ZA GRAĐANE, ALI I DA POŠTUJE VLASTITE PROPISE</w:t>
      </w:r>
    </w:p>
    <w:p w:rsidR="00A402C3" w:rsidRPr="009F5736" w:rsidRDefault="00A402C3" w:rsidP="00A402C3">
      <w:pPr>
        <w:rPr>
          <w:b/>
        </w:rPr>
      </w:pPr>
    </w:p>
    <w:p w:rsidR="00A402C3" w:rsidRPr="009F5736" w:rsidRDefault="00A402C3" w:rsidP="00A402C3">
      <w:pPr>
        <w:shd w:val="clear" w:color="auto" w:fill="000000" w:themeFill="text1"/>
        <w:jc w:val="center"/>
        <w:rPr>
          <w:b/>
        </w:rPr>
      </w:pPr>
      <w:r w:rsidRPr="009F5736">
        <w:rPr>
          <w:b/>
        </w:rPr>
        <w:t>SAŽETAK IZVJEŠTAJA</w:t>
      </w:r>
    </w:p>
    <w:p w:rsidR="00A402C3" w:rsidRPr="009F5736" w:rsidRDefault="00A402C3" w:rsidP="00A402C3">
      <w:pPr>
        <w:jc w:val="both"/>
      </w:pPr>
      <w:r w:rsidRPr="009F5736">
        <w:t xml:space="preserve">Kako bi dobili jasan pregled sadržaja monitoring izvještaja, u posebnom poglavlju kreira se sažetak izvještaja. Sažetak izvještaja o monitoringu rada institucija lokalne samouprave kreira se na osnovu kreiranih poglavlja u samom izvještaju, te korištenjem ključnih nalaza iz datih poglavlja, kako bi se dao objektivan prikaz najvažnijih dešavanja u posmatranom periodu. </w:t>
      </w:r>
    </w:p>
    <w:p w:rsidR="00A402C3" w:rsidRPr="009F5736" w:rsidRDefault="00A402C3" w:rsidP="00A402C3">
      <w:pPr>
        <w:jc w:val="both"/>
      </w:pPr>
      <w:r w:rsidRPr="009F5736">
        <w:rPr>
          <w:b/>
        </w:rPr>
        <w:t xml:space="preserve">OPĆINSKO VIJEĆE JE KONSTITUISANO U ZA TO PROPISANOM ROKU. </w:t>
      </w:r>
      <w:r w:rsidRPr="009F5736">
        <w:t>Općinsko  vijeće</w:t>
      </w:r>
      <w:r w:rsidR="00471951">
        <w:t xml:space="preserve"> Zavidovići</w:t>
      </w:r>
      <w:r w:rsidRPr="009F5736">
        <w:t xml:space="preserve"> je konstituisano </w:t>
      </w:r>
      <w:r w:rsidR="00B82AA5">
        <w:t>30</w:t>
      </w:r>
      <w:r w:rsidRPr="009F5736">
        <w:t>.</w:t>
      </w:r>
      <w:r w:rsidR="00B82AA5">
        <w:t>12</w:t>
      </w:r>
      <w:r w:rsidRPr="009F5736">
        <w:t>.202</w:t>
      </w:r>
      <w:r w:rsidR="00B82AA5">
        <w:t>0</w:t>
      </w:r>
      <w:r w:rsidRPr="009F5736">
        <w:t xml:space="preserve">.g., što je u skladu sa rokovima koje propisuje Poslovnik o radu Općinskog  vijeća( Članak </w:t>
      </w:r>
      <w:r w:rsidR="00B82AA5">
        <w:t>19</w:t>
      </w:r>
      <w:r w:rsidRPr="009F5736">
        <w:t>.</w:t>
      </w:r>
      <w:r>
        <w:t>- Službeni glasnik općine broj 7/1</w:t>
      </w:r>
      <w:r w:rsidR="00B82AA5">
        <w:t>4</w:t>
      </w:r>
      <w:r>
        <w:t>)</w:t>
      </w:r>
      <w:r w:rsidRPr="009F5736">
        <w:t>, u roku od 30 dana nakon potvrđenih izbornih rezultata od strane Centralne izborne komisije BiH.</w:t>
      </w:r>
    </w:p>
    <w:p w:rsidR="00452C86" w:rsidRDefault="00B82AA5" w:rsidP="003036D6">
      <w:pPr>
        <w:jc w:val="both"/>
      </w:pPr>
      <w:r>
        <w:rPr>
          <w:b/>
        </w:rPr>
        <w:t xml:space="preserve">DEVET </w:t>
      </w:r>
      <w:r w:rsidR="00A402C3" w:rsidRPr="009F5736">
        <w:rPr>
          <w:b/>
        </w:rPr>
        <w:t xml:space="preserve"> POLITIČKIH SUBJEKATA VOLJOM GRAĐANA PARTICIPIRA U OPĆINSKOM VIJEĆU</w:t>
      </w:r>
      <w:r w:rsidR="00A402C3" w:rsidRPr="009F5736">
        <w:t xml:space="preserve">. </w:t>
      </w:r>
    </w:p>
    <w:p w:rsidR="003036D6" w:rsidRDefault="003036D6" w:rsidP="003036D6">
      <w:pPr>
        <w:jc w:val="both"/>
      </w:pPr>
      <w:r>
        <w:t xml:space="preserve">Na lokalnim izborima održanim 2020.godine u Općinsko vijeće Zavidovići izabrano je 29 vijećnika. Socijaldemokratska partija BiH (SDP) osvojila je 7 mandata, Stranka demokratske akcije (SDA) 6 mandata, Nezavisna bosanskohercegovačka lista 5 mandata, Stranka demokratske aktivnosti (A-SDA) 3 mandata, </w:t>
      </w:r>
      <w:r w:rsidR="00471951">
        <w:t xml:space="preserve">SBB </w:t>
      </w:r>
      <w:r>
        <w:t xml:space="preserve">Fahrudin Radončić </w:t>
      </w:r>
      <w:r w:rsidR="00471951">
        <w:t xml:space="preserve"> </w:t>
      </w:r>
      <w:r>
        <w:t>2 mandata, Stanka za Bosnu i Hercegovinu 2 mandata, Građanska demokratska stranka BIH 2 mandata, Pokret demokratske akcije (PDA) 1 mandat i Stranka penzionera/umirovljenika 1 mandat.</w:t>
      </w:r>
      <w:r w:rsidR="00452C86" w:rsidRPr="00452C86">
        <w:t xml:space="preserve"> </w:t>
      </w:r>
      <w:r w:rsidR="00452C86" w:rsidRPr="009F5736">
        <w:t>U odnosu na pr</w:t>
      </w:r>
      <w:r w:rsidR="00452C86">
        <w:t>ošli mandat (2016.-2020.) vodeća politička partija</w:t>
      </w:r>
      <w:r w:rsidR="00452C86" w:rsidRPr="009F5736">
        <w:t xml:space="preserve"> SDA </w:t>
      </w:r>
      <w:r w:rsidR="00452C86">
        <w:t>je izgubila pet mandata, dok je SDP zadržao isti broj mandata kao i na prošlim izborima, sedam.</w:t>
      </w:r>
      <w:r w:rsidR="00471951">
        <w:t xml:space="preserve"> </w:t>
      </w:r>
    </w:p>
    <w:p w:rsidR="00A402C3" w:rsidRPr="009F5736" w:rsidRDefault="00A402C3" w:rsidP="00A402C3">
      <w:pPr>
        <w:jc w:val="both"/>
      </w:pPr>
      <w:r w:rsidRPr="009F5736">
        <w:rPr>
          <w:b/>
        </w:rPr>
        <w:t xml:space="preserve">NOVOIZABRANI GRADONAČELNIK PREUZEO MANDAT BEZ PREDSTAVLJENOG EKSPOZEA JAVNOSTI. </w:t>
      </w:r>
      <w:r w:rsidRPr="009F5736">
        <w:t xml:space="preserve">Iako ekspoze ne predstavlja zakonsku obavezu, statutarnu ili poslovničku, zbog visokog stepena odgovornosti koja podrazumijeva funkcija načelnika, kao i činjenice da je načelnik bio izabran i u prošlom mandatu, ekspoze je potrebno predstaviti javnosti, građanima općenito, kako bi se upoznali sa pravcima djelovanja i ciljevima u predstojećem mandatu načelnika. </w:t>
      </w:r>
      <w:r w:rsidR="009A1697">
        <w:t>Načelnik Hašim Mujanović preuzeo je mandat bez predstavljanja ekspozea, tako da o</w:t>
      </w:r>
      <w:r w:rsidR="00452C86">
        <w:t xml:space="preserve">va demokratska praksa nije ispoštovana. </w:t>
      </w:r>
    </w:p>
    <w:p w:rsidR="00A402C3" w:rsidRDefault="00A402C3" w:rsidP="00452C86">
      <w:pPr>
        <w:jc w:val="both"/>
        <w:rPr>
          <w:b/>
        </w:rPr>
      </w:pPr>
      <w:r w:rsidRPr="009F5736">
        <w:rPr>
          <w:b/>
        </w:rPr>
        <w:t xml:space="preserve">KONTINUITET NEPOŠTIVANJA PROPISANIH OBAVEZA U LOKALNIM PARLAMENTIMA ŠIROM BOSNE I HERCEGOVINE, POSTAJE PRAVILO, A NE IZUZETAK.  </w:t>
      </w:r>
    </w:p>
    <w:p w:rsidR="00452C86" w:rsidRDefault="00452C86" w:rsidP="00452C86">
      <w:pPr>
        <w:jc w:val="both"/>
      </w:pPr>
      <w:r>
        <w:t>Godišnji program rada Općinskog vijeća je jedan od ključnih dokumenata kojim se definiraju smjernice za njegov rad i potiče učinkovitost, mjerljivost i transparentnost tog rada. Poslovnikom o radu Općinskog vijeća Zavidovići nije definisan tačan rok za usvajanje godišnjeg Programa rada, a donosi se na temelju Člana 54. Poslovnika o radu OV.</w:t>
      </w:r>
    </w:p>
    <w:p w:rsidR="0056701C" w:rsidRDefault="00452C86" w:rsidP="00452C86">
      <w:pPr>
        <w:jc w:val="both"/>
      </w:pPr>
      <w:r>
        <w:t>Program rada Općinskog vijeća Zavidovići  za 2021.godinu usvojen je na 2. sjednici Općinskog vijeća održanoj 26. februara 2021.godine.  Programom rada planirano je realizirati 101 mjeru u 2021.g.</w:t>
      </w:r>
      <w:r w:rsidR="004822A6">
        <w:t>, što je vrlo ambiciozan plan. U prvoj polovini godine OV je bilo efikasno i razmatralo sve mjere iz Programa rada planiranih za ovaj period.</w:t>
      </w:r>
    </w:p>
    <w:p w:rsidR="00452C86" w:rsidRDefault="00452C86" w:rsidP="00452C86">
      <w:pPr>
        <w:jc w:val="both"/>
        <w:rPr>
          <w:b/>
        </w:rPr>
      </w:pPr>
      <w:r>
        <w:t>Na trećoj sjednici OV, održanoj 11.05.2021, prezentovan Program rada načelnika općine za 2021.godinu.</w:t>
      </w:r>
      <w:r w:rsidR="0056701C" w:rsidRPr="0056701C">
        <w:t xml:space="preserve"> </w:t>
      </w:r>
      <w:r w:rsidR="0056701C">
        <w:t>Zbog problema izazvanih pandemijom korona virusa na trećoj sjednici OV je donijelo dopunu Poslovnika o radu OV u kojem se definira kada se OV može sastati u slučaju pandemije, epidemije isl.</w:t>
      </w:r>
    </w:p>
    <w:p w:rsidR="0056701C" w:rsidRDefault="004822A6" w:rsidP="00A402C3">
      <w:pPr>
        <w:jc w:val="both"/>
        <w:rPr>
          <w:b/>
        </w:rPr>
      </w:pPr>
      <w:r>
        <w:rPr>
          <w:b/>
        </w:rPr>
        <w:t xml:space="preserve">BUDŽET ZA </w:t>
      </w:r>
      <w:r w:rsidR="00A402C3" w:rsidRPr="009F5736">
        <w:rPr>
          <w:b/>
        </w:rPr>
        <w:t xml:space="preserve"> </w:t>
      </w:r>
      <w:r>
        <w:rPr>
          <w:b/>
        </w:rPr>
        <w:t>2021.GODINU PROGLASIO NAČELNIK OPĆINE</w:t>
      </w:r>
    </w:p>
    <w:p w:rsidR="0056701C" w:rsidRDefault="0056701C" w:rsidP="0056701C">
      <w:pPr>
        <w:jc w:val="both"/>
        <w:rPr>
          <w:rFonts w:cstheme="minorHAnsi"/>
        </w:rPr>
      </w:pPr>
      <w:r>
        <w:rPr>
          <w:rFonts w:cstheme="minorHAnsi"/>
        </w:rPr>
        <w:t xml:space="preserve">Budžet općine Zavidovići po prvi put je proglasio načelnik općine u zakonskom roku, na dan 01.04.2021.godine. Iako je na drugoj sjednici OV , održanoj 25.01.2021., usvojen Nacrt Budžeta za 2021.godinu OV nije zasjedalo tokom pandemije sve do kraja maja. </w:t>
      </w:r>
      <w:r>
        <w:t xml:space="preserve">Zbog problema izazvanih pandemijom korona virusa na trećoj sjednici OV je donijelo dopunu Poslovnika o radu OV u kojem se definira kada se OV može sastati u slučaju pandemije, epidemije isl. , tako da su se otklonile prepreke za budući rad u vanrednim okolnostima, epidemija ili pandemije. </w:t>
      </w:r>
      <w:r>
        <w:rPr>
          <w:rFonts w:cstheme="minorHAnsi"/>
        </w:rPr>
        <w:t xml:space="preserve"> </w:t>
      </w:r>
    </w:p>
    <w:p w:rsidR="0056701C" w:rsidRDefault="00A402C3" w:rsidP="00A402C3">
      <w:pPr>
        <w:jc w:val="both"/>
        <w:rPr>
          <w:b/>
        </w:rPr>
      </w:pPr>
      <w:r w:rsidRPr="009F5736">
        <w:rPr>
          <w:b/>
        </w:rPr>
        <w:t xml:space="preserve">PLANIRANI BUDŽET ZA 2021.g. JE </w:t>
      </w:r>
      <w:r w:rsidR="0056701C">
        <w:rPr>
          <w:b/>
        </w:rPr>
        <w:t>SKORO IDENTIČAN</w:t>
      </w:r>
      <w:r w:rsidRPr="009F5736">
        <w:rPr>
          <w:b/>
        </w:rPr>
        <w:t xml:space="preserve"> U ODNOSU NA PRETHODNU GODINU </w:t>
      </w:r>
    </w:p>
    <w:p w:rsidR="0056701C" w:rsidRDefault="0056701C" w:rsidP="0056701C">
      <w:pPr>
        <w:jc w:val="both"/>
      </w:pPr>
      <w:r>
        <w:rPr>
          <w:rFonts w:cstheme="minorHAnsi"/>
          <w:shd w:val="clear" w:color="auto" w:fill="FFFFFF"/>
        </w:rPr>
        <w:t>Budžet</w:t>
      </w:r>
      <w:r w:rsidRPr="00E87AA9">
        <w:rPr>
          <w:rFonts w:cstheme="minorHAnsi"/>
          <w:shd w:val="clear" w:color="auto" w:fill="FFFFFF"/>
        </w:rPr>
        <w:t xml:space="preserve"> je usvojen u iznosu od </w:t>
      </w:r>
      <w:r>
        <w:rPr>
          <w:rFonts w:cstheme="minorHAnsi"/>
          <w:shd w:val="clear" w:color="auto" w:fill="FFFFFF"/>
        </w:rPr>
        <w:t>12.361.399,00</w:t>
      </w:r>
      <w:r w:rsidRPr="00E87AA9">
        <w:rPr>
          <w:rFonts w:cstheme="minorHAnsi"/>
          <w:shd w:val="clear" w:color="auto" w:fill="FFFFFF"/>
        </w:rPr>
        <w:t xml:space="preserve"> KM i u odnosu na 2020.godinu </w:t>
      </w:r>
      <w:r>
        <w:rPr>
          <w:rFonts w:cstheme="minorHAnsi"/>
          <w:shd w:val="clear" w:color="auto" w:fill="FFFFFF"/>
        </w:rPr>
        <w:t xml:space="preserve">je gotovo identičan. </w:t>
      </w:r>
      <w:r w:rsidRPr="00E87D08">
        <w:t>Za općinu Zavidoviće karakteristično da se za plaće i naknade za zaposlene potroši oko 25% Budžeta , što je u odnosu</w:t>
      </w:r>
      <w:r>
        <w:t xml:space="preserve"> na druge općine i gradove velika ušteda budžeta. Analizirajući budžete u posljednjih nekoliko godina nastavljen je kontinuitet jednakih primitaka i izdataka na godišnjem nivou. Iako je budžet usvajan u vrijeme pandemije nije došlo do smanjenja prihoda. Kapitalni izdaci su ove godine vrlo malo umanjeni. Tekući transferi za MZ planirani su umanjeni u odnosu na prošlu godinu i u ovoj godini je planirano 60.000 KM , što je zaista skromno i nedovoljno za rad MZ, a za podršku projektima u MZ –a planirano je 10.000 KM. Transfer za stipendije prema ministarstvima za boračka pitanja i obrazovanje  je planiran u iznosu od 370.000 KM.</w:t>
      </w:r>
    </w:p>
    <w:p w:rsidR="004822A6" w:rsidRPr="003C27FC" w:rsidRDefault="00A402C3" w:rsidP="004822A6">
      <w:pPr>
        <w:jc w:val="both"/>
      </w:pPr>
      <w:r w:rsidRPr="009F5736">
        <w:rPr>
          <w:b/>
        </w:rPr>
        <w:t xml:space="preserve">U DOSADAŠNJEM RADU OV </w:t>
      </w:r>
      <w:r w:rsidR="004822A6">
        <w:rPr>
          <w:b/>
        </w:rPr>
        <w:t xml:space="preserve">NAPRAVLJENI SU POMACI </w:t>
      </w:r>
      <w:r w:rsidRPr="009F5736">
        <w:rPr>
          <w:b/>
        </w:rPr>
        <w:t>ZA UNAPREĐENJE KVALIT</w:t>
      </w:r>
      <w:r w:rsidR="00CF4F2C">
        <w:rPr>
          <w:b/>
        </w:rPr>
        <w:t>ETE ŽIVOTA GRAĐANA.</w:t>
      </w:r>
    </w:p>
    <w:p w:rsidR="004822A6" w:rsidRDefault="004822A6" w:rsidP="004822A6">
      <w:pPr>
        <w:tabs>
          <w:tab w:val="left" w:pos="5018"/>
        </w:tabs>
        <w:jc w:val="both"/>
      </w:pPr>
      <w:r w:rsidRPr="00BD0932">
        <w:t>Što se tiče realizacije mjera iz Programa rada OV za 2021.godinu u prvoj polovini godine</w:t>
      </w:r>
      <w:r>
        <w:t xml:space="preserve"> u ovom mandatu Općinsko vijeće je bilo efikasno i usvojilo sve planirane mjere. Od značajnijih mjera koje je vijeće usvojilo u ovom periodu istaknuli bi : Program rada OV za 2021.godinu, kao i Program rada načelnika –primilo k znanju, Prijedlog plana kapitalnih investicija Općine Zavidovići za period 2021.-2025., Akcioni plan implementacije Strategije integriranog razvoja Općine Zavidovići za period 2017.-2026. za 2021 godinu,  Plan i program rekonstrukcije i održavanja lokalnih cesta za 2021.g, više izvještaja idr.</w:t>
      </w:r>
      <w:r w:rsidRPr="00BD0932">
        <w:t xml:space="preserve"> </w:t>
      </w:r>
      <w:r w:rsidR="00CF4F2C">
        <w:t>Izostale su mjere koje se bave ključnim pitanjima mladih ljudi u Zavidovićima.</w:t>
      </w:r>
    </w:p>
    <w:p w:rsidR="00CF4F2C" w:rsidRDefault="00A402C3" w:rsidP="00A402C3">
      <w:pPr>
        <w:jc w:val="both"/>
      </w:pPr>
      <w:r w:rsidRPr="009F5736">
        <w:rPr>
          <w:b/>
        </w:rPr>
        <w:t>NASTAVLJENA JE SLIČNA DINAMIKA RADA OV KAO U PROŠLOM SAZIVU.</w:t>
      </w:r>
      <w:r w:rsidRPr="009F5736">
        <w:t xml:space="preserve"> </w:t>
      </w:r>
    </w:p>
    <w:p w:rsidR="00CF4F2C" w:rsidRPr="00135DD1" w:rsidRDefault="00CF4F2C" w:rsidP="00CF4F2C">
      <w:pPr>
        <w:jc w:val="both"/>
      </w:pPr>
      <w:r w:rsidRPr="00135DD1">
        <w:t xml:space="preserve">Ako usporedimo rad aktualnog </w:t>
      </w:r>
      <w:r>
        <w:t>Općinskog</w:t>
      </w:r>
      <w:r w:rsidRPr="00135DD1">
        <w:t xml:space="preserve"> vijeća sa radom u prvih šest mjeseci prethodnog mandata </w:t>
      </w:r>
      <w:r>
        <w:t xml:space="preserve">vidljivo je </w:t>
      </w:r>
      <w:r w:rsidRPr="00135DD1">
        <w:t xml:space="preserve">da je </w:t>
      </w:r>
      <w:r>
        <w:t xml:space="preserve">u periodu prošlog mandata 2016.-2020. prvih šest sjednica održano do kraja marta mjeseca 2017., dok je za prvih šest mjeseci održano ukupno 9 sjednica. Prijedlog Budžeta i Program rada  OV za 2017.g su razmatrani i usvojeni do kraja 2016.godine, što je u skladu sa zakonom i poslovnikom o radu OV. Sjednice OV su trajale u prosjeko 6 sati po sjednici, rasprave su bile duge i iscrpljujuće, a u prosjeku razmatrano je oko 20 tačaka dnevnog reda po sjednici.   </w:t>
      </w:r>
    </w:p>
    <w:p w:rsidR="00A402C3" w:rsidRPr="009F5736" w:rsidRDefault="00A402C3" w:rsidP="00A402C3">
      <w:pPr>
        <w:jc w:val="both"/>
      </w:pPr>
    </w:p>
    <w:p w:rsidR="005E42AD" w:rsidRPr="000C3374" w:rsidRDefault="005E42AD" w:rsidP="005E42AD">
      <w:pPr>
        <w:pStyle w:val="Naslov1"/>
        <w:shd w:val="clear" w:color="auto" w:fill="0F243E"/>
        <w:spacing w:before="0" w:line="240" w:lineRule="auto"/>
        <w:jc w:val="right"/>
        <w:rPr>
          <w:rFonts w:ascii="Arial" w:hAnsi="Arial" w:cs="Arial"/>
          <w:color w:val="FFFFFF"/>
          <w:sz w:val="24"/>
          <w:szCs w:val="24"/>
        </w:rPr>
      </w:pPr>
      <w:r>
        <w:rPr>
          <w:rFonts w:ascii="Arial" w:hAnsi="Arial" w:cs="Arial"/>
          <w:color w:val="FFFFFF"/>
          <w:sz w:val="24"/>
          <w:szCs w:val="24"/>
        </w:rPr>
        <w:t>SASTAV OPĆINSKOG VIJEĆA ZAVIDOVIĆI</w:t>
      </w:r>
      <w:r w:rsidRPr="00935222">
        <w:rPr>
          <w:rFonts w:ascii="Arial" w:hAnsi="Arial" w:cs="Arial"/>
          <w:color w:val="FFFFFF"/>
          <w:sz w:val="24"/>
          <w:szCs w:val="24"/>
        </w:rPr>
        <w:tab/>
      </w:r>
    </w:p>
    <w:p w:rsidR="005E42AD" w:rsidRDefault="005E42AD" w:rsidP="005E42AD">
      <w:pPr>
        <w:jc w:val="both"/>
      </w:pPr>
    </w:p>
    <w:p w:rsidR="005E42AD" w:rsidRDefault="005E42AD" w:rsidP="005E42AD">
      <w:pPr>
        <w:jc w:val="both"/>
      </w:pPr>
      <w:bookmarkStart w:id="0" w:name="_GoBack"/>
      <w:r>
        <w:t xml:space="preserve">Na lokalnim izborima održanim 2020.godine u Općinsko vijeće Zavidovići izabrano je 29 vijećnika. Socijaldemokratska partija BiH (SDP) osvojila je 7 mandata, Stranka demokratske akcije (SDA) 6 mandata, Nezavisna bosanskohercegovačka lista 5 mandata, Stranka demokratske aktivnosti (A-SDA) 3 mandata, </w:t>
      </w:r>
      <w:r w:rsidR="00471951">
        <w:t xml:space="preserve">SBB </w:t>
      </w:r>
      <w:r>
        <w:t>Fahrudin Radončić 2 mandata, Stanka za Bosnu i Hercegovinu 2 mandata, Građanska demokratska stranka BIH 2 mandata, Pokret demokratske akcije (PDA) 1 mandat i Stranka penzionera/umirovljenika 1 mandat.</w:t>
      </w:r>
    </w:p>
    <w:bookmarkEnd w:id="0"/>
    <w:p w:rsidR="005E42AD" w:rsidRDefault="005E42AD" w:rsidP="005E42AD">
      <w:pPr>
        <w:jc w:val="center"/>
      </w:pPr>
      <w:r>
        <w:rPr>
          <w:noProof/>
          <w:lang w:val="hr-BA" w:eastAsia="hr-BA"/>
        </w:rPr>
        <w:drawing>
          <wp:inline distT="0" distB="0" distL="0" distR="0">
            <wp:extent cx="5486400" cy="3200400"/>
            <wp:effectExtent l="19050" t="0" r="19050" b="0"/>
            <wp:docPr id="6"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42AD" w:rsidRPr="0024659D" w:rsidRDefault="005E42AD" w:rsidP="005E42AD">
      <w:pPr>
        <w:tabs>
          <w:tab w:val="center" w:pos="4536"/>
        </w:tabs>
        <w:jc w:val="center"/>
      </w:pPr>
      <w:r>
        <w:t xml:space="preserve">Grafikon 1: Sastav OV Zavidovići-broj mandata političkih subjekata  </w:t>
      </w:r>
    </w:p>
    <w:p w:rsidR="005E42AD" w:rsidRPr="0024659D" w:rsidRDefault="005E42AD" w:rsidP="005E42AD"/>
    <w:p w:rsidR="005E42AD" w:rsidRDefault="005E42AD" w:rsidP="005E42AD">
      <w:pPr>
        <w:tabs>
          <w:tab w:val="left" w:pos="1590"/>
        </w:tabs>
      </w:pPr>
      <w:r>
        <w:tab/>
      </w:r>
    </w:p>
    <w:p w:rsidR="005E42AD" w:rsidRDefault="005E42AD" w:rsidP="00EA55DD">
      <w:pPr>
        <w:jc w:val="both"/>
      </w:pPr>
      <w:r>
        <w:t>Na konstituirajućoj sjednici mandat nisu prihvatili Mirnes Burkić ispred Stranke demokratske akcije (SDA)  čiji mandat je pripao vijećniku Alminu Dohranoviću kao i Horozović Azem ispred Stranke za bolju budućnost (SBB) čiji mandat je pripao Ramizu Latifoviću. Mandate su preuzeli na prvoj redovnoj sjednici  Općinskog  vijeća održanoj 25.01.2021.godine.</w:t>
      </w:r>
    </w:p>
    <w:p w:rsidR="00EA55DD" w:rsidRDefault="00EA55DD" w:rsidP="00EA55DD">
      <w:pPr>
        <w:jc w:val="both"/>
      </w:pPr>
      <w:r>
        <w:t>Sredinom juna mjeseca vijećnici  Admir Mujkić -GDS , Admir Fojnica –SBB i Samir Skejić-NBL su obavijestili OV da napuštaju svoje klubove i u narednom periodu će nastupati kao samostalni vijećnici.</w:t>
      </w:r>
    </w:p>
    <w:p w:rsidR="005E42AD" w:rsidRDefault="005E42AD" w:rsidP="005E42AD">
      <w:r>
        <w:t>Deset od 29 vijećnika/ca, tj. 34,5% ima ranije iskustvo u obnašanju ove odgovorne funkcije.</w:t>
      </w:r>
    </w:p>
    <w:tbl>
      <w:tblPr>
        <w:tblStyle w:val="ListTable4Accent1"/>
        <w:tblW w:w="8762" w:type="dxa"/>
        <w:tblLook w:val="04A0"/>
      </w:tblPr>
      <w:tblGrid>
        <w:gridCol w:w="657"/>
        <w:gridCol w:w="1943"/>
        <w:gridCol w:w="351"/>
        <w:gridCol w:w="2232"/>
        <w:gridCol w:w="1879"/>
        <w:gridCol w:w="1700"/>
      </w:tblGrid>
      <w:tr w:rsidR="005E42AD" w:rsidRPr="002D39CB" w:rsidTr="00A402C3">
        <w:trPr>
          <w:cnfStyle w:val="100000000000"/>
          <w:trHeight w:val="259"/>
        </w:trPr>
        <w:tc>
          <w:tcPr>
            <w:cnfStyle w:val="001000000000"/>
            <w:tcW w:w="657" w:type="dxa"/>
          </w:tcPr>
          <w:p w:rsidR="005E42AD" w:rsidRPr="00814AE9" w:rsidRDefault="005E42AD" w:rsidP="00A402C3">
            <w:pPr>
              <w:jc w:val="center"/>
              <w:rPr>
                <w:rFonts w:eastAsiaTheme="minorEastAsia"/>
                <w:b w:val="0"/>
              </w:rPr>
            </w:pPr>
            <w:r w:rsidRPr="00B75509">
              <w:rPr>
                <w:rFonts w:eastAsiaTheme="minorEastAsia"/>
              </w:rPr>
              <w:t>R.br.</w:t>
            </w:r>
          </w:p>
        </w:tc>
        <w:tc>
          <w:tcPr>
            <w:tcW w:w="2294" w:type="dxa"/>
            <w:gridSpan w:val="2"/>
          </w:tcPr>
          <w:p w:rsidR="005E42AD" w:rsidRPr="00814AE9" w:rsidRDefault="005E42AD" w:rsidP="00A402C3">
            <w:pPr>
              <w:ind w:left="-109"/>
              <w:jc w:val="center"/>
              <w:cnfStyle w:val="100000000000"/>
              <w:rPr>
                <w:rFonts w:eastAsiaTheme="minorEastAsia"/>
                <w:b w:val="0"/>
              </w:rPr>
            </w:pPr>
            <w:r>
              <w:rPr>
                <w:rFonts w:eastAsiaTheme="minorEastAsia"/>
              </w:rPr>
              <w:t>Vijećnik/ca</w:t>
            </w:r>
          </w:p>
        </w:tc>
        <w:tc>
          <w:tcPr>
            <w:tcW w:w="2232" w:type="dxa"/>
          </w:tcPr>
          <w:p w:rsidR="005E42AD" w:rsidRPr="00814AE9" w:rsidRDefault="005E42AD" w:rsidP="00A402C3">
            <w:pPr>
              <w:jc w:val="center"/>
              <w:cnfStyle w:val="100000000000"/>
              <w:rPr>
                <w:rFonts w:eastAsiaTheme="minorEastAsia"/>
                <w:b w:val="0"/>
              </w:rPr>
            </w:pPr>
            <w:r w:rsidRPr="00B75509">
              <w:rPr>
                <w:rFonts w:eastAsiaTheme="minorEastAsia"/>
              </w:rPr>
              <w:t>Stranka</w:t>
            </w:r>
          </w:p>
        </w:tc>
        <w:tc>
          <w:tcPr>
            <w:tcW w:w="1879" w:type="dxa"/>
          </w:tcPr>
          <w:p w:rsidR="005E42AD" w:rsidRPr="00814AE9" w:rsidRDefault="005E42AD" w:rsidP="00A402C3">
            <w:pPr>
              <w:jc w:val="center"/>
              <w:cnfStyle w:val="100000000000"/>
              <w:rPr>
                <w:rFonts w:eastAsiaTheme="minorEastAsia"/>
                <w:b w:val="0"/>
              </w:rPr>
            </w:pPr>
            <w:r w:rsidRPr="00B75509">
              <w:rPr>
                <w:rFonts w:eastAsiaTheme="minorEastAsia"/>
              </w:rPr>
              <w:t>Početak mandata</w:t>
            </w:r>
          </w:p>
        </w:tc>
        <w:tc>
          <w:tcPr>
            <w:tcW w:w="1700" w:type="dxa"/>
          </w:tcPr>
          <w:p w:rsidR="005E42AD" w:rsidRPr="00814AE9" w:rsidRDefault="005E42AD" w:rsidP="00A402C3">
            <w:pPr>
              <w:jc w:val="center"/>
              <w:cnfStyle w:val="100000000000"/>
              <w:rPr>
                <w:rFonts w:eastAsiaTheme="minorEastAsia"/>
                <w:b w:val="0"/>
              </w:rPr>
            </w:pPr>
            <w:r w:rsidRPr="00B75509">
              <w:rPr>
                <w:rFonts w:eastAsiaTheme="minorEastAsia"/>
              </w:rPr>
              <w:t>Mandat u</w:t>
            </w:r>
            <w:r>
              <w:rPr>
                <w:rFonts w:eastAsiaTheme="minorEastAsia"/>
              </w:rPr>
              <w:t xml:space="preserve"> Vijeću</w:t>
            </w:r>
          </w:p>
        </w:tc>
      </w:tr>
      <w:tr w:rsidR="005E42AD" w:rsidRPr="002D39CB" w:rsidTr="00A402C3">
        <w:trPr>
          <w:cnfStyle w:val="000000100000"/>
          <w:trHeight w:val="202"/>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1</w:t>
            </w:r>
          </w:p>
        </w:tc>
        <w:tc>
          <w:tcPr>
            <w:tcW w:w="1943" w:type="dxa"/>
          </w:tcPr>
          <w:p w:rsidR="005E42AD" w:rsidRPr="002D39CB" w:rsidRDefault="005E42AD" w:rsidP="00A402C3">
            <w:pPr>
              <w:cnfStyle w:val="000000100000"/>
              <w:rPr>
                <w:rFonts w:eastAsiaTheme="minorEastAsia"/>
              </w:rPr>
            </w:pPr>
            <w:r>
              <w:rPr>
                <w:rFonts w:eastAsiaTheme="minorEastAsia"/>
              </w:rPr>
              <w:t>Haris Hodžić</w:t>
            </w:r>
          </w:p>
        </w:tc>
        <w:tc>
          <w:tcPr>
            <w:tcW w:w="2583" w:type="dxa"/>
            <w:gridSpan w:val="2"/>
          </w:tcPr>
          <w:p w:rsidR="005E42AD" w:rsidRPr="002D39CB" w:rsidRDefault="005E42AD" w:rsidP="00A402C3">
            <w:pPr>
              <w:jc w:val="center"/>
              <w:cnfStyle w:val="000000100000"/>
              <w:rPr>
                <w:rFonts w:eastAsiaTheme="minorEastAsia"/>
              </w:rPr>
            </w:pPr>
            <w:r>
              <w:rPr>
                <w:rFonts w:eastAsiaTheme="minorEastAsia"/>
              </w:rPr>
              <w:t>SDP BiH</w:t>
            </w:r>
          </w:p>
        </w:tc>
        <w:tc>
          <w:tcPr>
            <w:tcW w:w="1879" w:type="dxa"/>
          </w:tcPr>
          <w:p w:rsidR="005E42AD" w:rsidRPr="002D39CB" w:rsidRDefault="005E42AD" w:rsidP="00A402C3">
            <w:pPr>
              <w:jc w:val="center"/>
              <w:cnfStyle w:val="000000100000"/>
              <w:rPr>
                <w:rFonts w:eastAsiaTheme="minorEastAsia"/>
              </w:rPr>
            </w:pPr>
            <w:r>
              <w:rPr>
                <w:rFonts w:eastAsiaTheme="minorEastAsia"/>
              </w:rPr>
              <w:t>15.12.2020.</w:t>
            </w:r>
          </w:p>
        </w:tc>
        <w:tc>
          <w:tcPr>
            <w:tcW w:w="1700" w:type="dxa"/>
          </w:tcPr>
          <w:p w:rsidR="005E42AD" w:rsidRPr="002D39CB" w:rsidRDefault="005E42AD" w:rsidP="00A402C3">
            <w:pPr>
              <w:jc w:val="center"/>
              <w:cnfStyle w:val="000000100000"/>
              <w:rPr>
                <w:rFonts w:eastAsiaTheme="minorEastAsia"/>
              </w:rPr>
            </w:pPr>
            <w:r>
              <w:rPr>
                <w:rFonts w:eastAsiaTheme="minorEastAsia"/>
              </w:rPr>
              <w:t>1</w:t>
            </w:r>
          </w:p>
        </w:tc>
      </w:tr>
      <w:tr w:rsidR="005E42AD" w:rsidRPr="002D39CB" w:rsidTr="00A402C3">
        <w:trPr>
          <w:trHeight w:val="189"/>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2</w:t>
            </w:r>
          </w:p>
        </w:tc>
        <w:tc>
          <w:tcPr>
            <w:tcW w:w="1943" w:type="dxa"/>
          </w:tcPr>
          <w:p w:rsidR="005E42AD" w:rsidRPr="002D39CB" w:rsidRDefault="005E42AD" w:rsidP="00A402C3">
            <w:pPr>
              <w:cnfStyle w:val="000000000000"/>
              <w:rPr>
                <w:rFonts w:eastAsiaTheme="minorEastAsia"/>
              </w:rPr>
            </w:pPr>
            <w:r>
              <w:rPr>
                <w:rFonts w:eastAsiaTheme="minorEastAsia"/>
              </w:rPr>
              <w:t>Igor Šimšić</w:t>
            </w:r>
          </w:p>
        </w:tc>
        <w:tc>
          <w:tcPr>
            <w:tcW w:w="2583" w:type="dxa"/>
            <w:gridSpan w:val="2"/>
          </w:tcPr>
          <w:p w:rsidR="005E42AD" w:rsidRPr="002D39CB" w:rsidRDefault="005E42AD" w:rsidP="00A402C3">
            <w:pPr>
              <w:jc w:val="center"/>
              <w:cnfStyle w:val="000000000000"/>
              <w:rPr>
                <w:rFonts w:eastAsiaTheme="minorEastAsia"/>
              </w:rPr>
            </w:pPr>
            <w:r>
              <w:rPr>
                <w:rFonts w:eastAsiaTheme="minorEastAsia"/>
              </w:rPr>
              <w:t>SDP BiH</w:t>
            </w:r>
          </w:p>
        </w:tc>
        <w:tc>
          <w:tcPr>
            <w:tcW w:w="1879" w:type="dxa"/>
          </w:tcPr>
          <w:p w:rsidR="005E42AD" w:rsidRPr="002D39CB" w:rsidRDefault="005E42AD" w:rsidP="00A402C3">
            <w:pPr>
              <w:jc w:val="center"/>
              <w:cnfStyle w:val="000000000000"/>
              <w:rPr>
                <w:rFonts w:eastAsiaTheme="minorEastAsia"/>
              </w:rPr>
            </w:pPr>
            <w:r>
              <w:rPr>
                <w:rFonts w:eastAsiaTheme="minorEastAsia"/>
              </w:rPr>
              <w:t>15.12.2020.</w:t>
            </w:r>
          </w:p>
        </w:tc>
        <w:tc>
          <w:tcPr>
            <w:tcW w:w="1700" w:type="dxa"/>
          </w:tcPr>
          <w:p w:rsidR="005E42AD" w:rsidRPr="002D39CB" w:rsidRDefault="005E42AD" w:rsidP="00A402C3">
            <w:pPr>
              <w:jc w:val="center"/>
              <w:cnfStyle w:val="000000000000"/>
              <w:rPr>
                <w:rFonts w:eastAsiaTheme="minorEastAsia"/>
              </w:rPr>
            </w:pPr>
            <w:r>
              <w:rPr>
                <w:rFonts w:eastAsiaTheme="minorEastAsia"/>
              </w:rPr>
              <w:t>2</w:t>
            </w:r>
          </w:p>
        </w:tc>
      </w:tr>
      <w:tr w:rsidR="005E42AD" w:rsidRPr="002D39CB" w:rsidTr="00A402C3">
        <w:trPr>
          <w:cnfStyle w:val="000000100000"/>
          <w:trHeight w:val="202"/>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3</w:t>
            </w:r>
          </w:p>
        </w:tc>
        <w:tc>
          <w:tcPr>
            <w:tcW w:w="1943" w:type="dxa"/>
          </w:tcPr>
          <w:p w:rsidR="005E42AD" w:rsidRPr="002D39CB" w:rsidRDefault="005E42AD" w:rsidP="00A402C3">
            <w:pPr>
              <w:cnfStyle w:val="000000100000"/>
              <w:rPr>
                <w:rFonts w:eastAsiaTheme="minorEastAsia"/>
              </w:rPr>
            </w:pPr>
            <w:r>
              <w:rPr>
                <w:rFonts w:eastAsiaTheme="minorEastAsia"/>
              </w:rPr>
              <w:t>Hamdo Džinić</w:t>
            </w:r>
          </w:p>
        </w:tc>
        <w:tc>
          <w:tcPr>
            <w:tcW w:w="2583" w:type="dxa"/>
            <w:gridSpan w:val="2"/>
          </w:tcPr>
          <w:p w:rsidR="005E42AD" w:rsidRPr="002D39CB" w:rsidRDefault="005E42AD" w:rsidP="00A402C3">
            <w:pPr>
              <w:jc w:val="center"/>
              <w:cnfStyle w:val="000000100000"/>
              <w:rPr>
                <w:rFonts w:eastAsiaTheme="minorEastAsia"/>
              </w:rPr>
            </w:pPr>
            <w:r>
              <w:rPr>
                <w:rFonts w:eastAsiaTheme="minorEastAsia"/>
              </w:rPr>
              <w:t>SDP BiH</w:t>
            </w:r>
          </w:p>
        </w:tc>
        <w:tc>
          <w:tcPr>
            <w:tcW w:w="1879" w:type="dxa"/>
          </w:tcPr>
          <w:p w:rsidR="005E42AD" w:rsidRPr="002D39CB" w:rsidRDefault="005E42AD" w:rsidP="00A402C3">
            <w:pPr>
              <w:jc w:val="center"/>
              <w:cnfStyle w:val="000000100000"/>
              <w:rPr>
                <w:rFonts w:eastAsiaTheme="minorEastAsia"/>
              </w:rPr>
            </w:pPr>
            <w:r>
              <w:rPr>
                <w:rFonts w:eastAsiaTheme="minorEastAsia"/>
              </w:rPr>
              <w:t>15.12.2020.</w:t>
            </w:r>
          </w:p>
        </w:tc>
        <w:tc>
          <w:tcPr>
            <w:tcW w:w="1700" w:type="dxa"/>
          </w:tcPr>
          <w:p w:rsidR="005E42AD" w:rsidRPr="002D39CB" w:rsidRDefault="005E42AD" w:rsidP="00A402C3">
            <w:pPr>
              <w:jc w:val="center"/>
              <w:cnfStyle w:val="000000100000"/>
              <w:rPr>
                <w:rFonts w:eastAsiaTheme="minorEastAsia"/>
              </w:rPr>
            </w:pPr>
            <w:r>
              <w:rPr>
                <w:rFonts w:eastAsiaTheme="minorEastAsia"/>
              </w:rPr>
              <w:t>1</w:t>
            </w:r>
          </w:p>
        </w:tc>
      </w:tr>
      <w:tr w:rsidR="005E42AD" w:rsidRPr="002D39CB" w:rsidTr="00A402C3">
        <w:trPr>
          <w:trHeight w:val="189"/>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4</w:t>
            </w:r>
          </w:p>
        </w:tc>
        <w:tc>
          <w:tcPr>
            <w:tcW w:w="1943" w:type="dxa"/>
          </w:tcPr>
          <w:p w:rsidR="005E42AD" w:rsidRPr="002D39CB" w:rsidRDefault="005E42AD" w:rsidP="00A402C3">
            <w:pPr>
              <w:cnfStyle w:val="000000000000"/>
              <w:rPr>
                <w:rFonts w:eastAsiaTheme="minorEastAsia"/>
              </w:rPr>
            </w:pPr>
            <w:r>
              <w:rPr>
                <w:rFonts w:eastAsiaTheme="minorEastAsia"/>
              </w:rPr>
              <w:t>Adi Mahovac</w:t>
            </w:r>
          </w:p>
        </w:tc>
        <w:tc>
          <w:tcPr>
            <w:tcW w:w="2583" w:type="dxa"/>
            <w:gridSpan w:val="2"/>
          </w:tcPr>
          <w:p w:rsidR="005E42AD" w:rsidRPr="002D39CB" w:rsidRDefault="005E42AD" w:rsidP="00A402C3">
            <w:pPr>
              <w:jc w:val="center"/>
              <w:cnfStyle w:val="000000000000"/>
              <w:rPr>
                <w:rFonts w:eastAsiaTheme="minorEastAsia"/>
              </w:rPr>
            </w:pPr>
            <w:r>
              <w:rPr>
                <w:rFonts w:eastAsiaTheme="minorEastAsia"/>
              </w:rPr>
              <w:t>SDP BiH</w:t>
            </w:r>
          </w:p>
        </w:tc>
        <w:tc>
          <w:tcPr>
            <w:tcW w:w="1879" w:type="dxa"/>
          </w:tcPr>
          <w:p w:rsidR="005E42AD" w:rsidRPr="002D39CB" w:rsidRDefault="005E42AD" w:rsidP="00A402C3">
            <w:pPr>
              <w:jc w:val="center"/>
              <w:cnfStyle w:val="000000000000"/>
              <w:rPr>
                <w:rFonts w:eastAsiaTheme="minorEastAsia"/>
              </w:rPr>
            </w:pPr>
            <w:r>
              <w:rPr>
                <w:rFonts w:eastAsiaTheme="minorEastAsia"/>
              </w:rPr>
              <w:t>15.12.2020.</w:t>
            </w:r>
          </w:p>
        </w:tc>
        <w:tc>
          <w:tcPr>
            <w:tcW w:w="1700" w:type="dxa"/>
          </w:tcPr>
          <w:p w:rsidR="005E42AD" w:rsidRPr="002D39CB" w:rsidRDefault="005E42AD" w:rsidP="00A402C3">
            <w:pPr>
              <w:jc w:val="center"/>
              <w:cnfStyle w:val="000000000000"/>
              <w:rPr>
                <w:rFonts w:eastAsiaTheme="minorEastAsia"/>
              </w:rPr>
            </w:pPr>
            <w:r>
              <w:rPr>
                <w:rFonts w:eastAsiaTheme="minorEastAsia"/>
              </w:rPr>
              <w:t>1</w:t>
            </w:r>
          </w:p>
        </w:tc>
      </w:tr>
      <w:tr w:rsidR="005E42AD" w:rsidRPr="002D39CB" w:rsidTr="00A402C3">
        <w:trPr>
          <w:cnfStyle w:val="000000100000"/>
          <w:trHeight w:val="202"/>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5</w:t>
            </w:r>
          </w:p>
        </w:tc>
        <w:tc>
          <w:tcPr>
            <w:tcW w:w="1943" w:type="dxa"/>
          </w:tcPr>
          <w:p w:rsidR="005E42AD" w:rsidRPr="002D39CB" w:rsidRDefault="005E42AD" w:rsidP="00A402C3">
            <w:pPr>
              <w:cnfStyle w:val="000000100000"/>
              <w:rPr>
                <w:rFonts w:eastAsiaTheme="minorEastAsia"/>
              </w:rPr>
            </w:pPr>
            <w:r>
              <w:rPr>
                <w:rFonts w:eastAsiaTheme="minorEastAsia"/>
              </w:rPr>
              <w:t>Šemsudin Skejić</w:t>
            </w:r>
          </w:p>
        </w:tc>
        <w:tc>
          <w:tcPr>
            <w:tcW w:w="2583" w:type="dxa"/>
            <w:gridSpan w:val="2"/>
          </w:tcPr>
          <w:p w:rsidR="005E42AD" w:rsidRPr="002D39CB" w:rsidRDefault="005E42AD" w:rsidP="00A402C3">
            <w:pPr>
              <w:jc w:val="center"/>
              <w:cnfStyle w:val="000000100000"/>
              <w:rPr>
                <w:rFonts w:eastAsiaTheme="minorEastAsia"/>
              </w:rPr>
            </w:pPr>
            <w:r>
              <w:rPr>
                <w:rFonts w:eastAsiaTheme="minorEastAsia"/>
              </w:rPr>
              <w:t>SDP BiH</w:t>
            </w:r>
          </w:p>
        </w:tc>
        <w:tc>
          <w:tcPr>
            <w:tcW w:w="1879" w:type="dxa"/>
          </w:tcPr>
          <w:p w:rsidR="005E42AD" w:rsidRPr="002D39CB" w:rsidRDefault="005E42AD" w:rsidP="00A402C3">
            <w:pPr>
              <w:jc w:val="center"/>
              <w:cnfStyle w:val="000000100000"/>
              <w:rPr>
                <w:rFonts w:eastAsiaTheme="minorEastAsia"/>
              </w:rPr>
            </w:pPr>
            <w:r>
              <w:rPr>
                <w:rFonts w:eastAsiaTheme="minorEastAsia"/>
              </w:rPr>
              <w:t>15.12.2020.</w:t>
            </w:r>
          </w:p>
        </w:tc>
        <w:tc>
          <w:tcPr>
            <w:tcW w:w="1700" w:type="dxa"/>
          </w:tcPr>
          <w:p w:rsidR="005E42AD" w:rsidRPr="002D39CB" w:rsidRDefault="005E42AD" w:rsidP="00A402C3">
            <w:pPr>
              <w:jc w:val="center"/>
              <w:cnfStyle w:val="000000100000"/>
              <w:rPr>
                <w:rFonts w:eastAsiaTheme="minorEastAsia"/>
              </w:rPr>
            </w:pPr>
            <w:r>
              <w:rPr>
                <w:rFonts w:eastAsiaTheme="minorEastAsia"/>
              </w:rPr>
              <w:t>1</w:t>
            </w:r>
          </w:p>
        </w:tc>
      </w:tr>
      <w:tr w:rsidR="005E42AD" w:rsidRPr="002D39CB" w:rsidTr="00A402C3">
        <w:trPr>
          <w:trHeight w:val="189"/>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6</w:t>
            </w:r>
          </w:p>
        </w:tc>
        <w:tc>
          <w:tcPr>
            <w:tcW w:w="1943" w:type="dxa"/>
          </w:tcPr>
          <w:p w:rsidR="005E42AD" w:rsidRPr="002D39CB" w:rsidRDefault="005E42AD" w:rsidP="00A402C3">
            <w:pPr>
              <w:cnfStyle w:val="000000000000"/>
              <w:rPr>
                <w:rFonts w:eastAsiaTheme="minorEastAsia"/>
              </w:rPr>
            </w:pPr>
            <w:r>
              <w:rPr>
                <w:rFonts w:eastAsiaTheme="minorEastAsia"/>
              </w:rPr>
              <w:t>Ferid Kaknjašević</w:t>
            </w:r>
          </w:p>
        </w:tc>
        <w:tc>
          <w:tcPr>
            <w:tcW w:w="2583" w:type="dxa"/>
            <w:gridSpan w:val="2"/>
          </w:tcPr>
          <w:p w:rsidR="005E42AD" w:rsidRPr="002D39CB" w:rsidRDefault="005E42AD" w:rsidP="00A402C3">
            <w:pPr>
              <w:jc w:val="center"/>
              <w:cnfStyle w:val="000000000000"/>
              <w:rPr>
                <w:rFonts w:eastAsiaTheme="minorEastAsia"/>
              </w:rPr>
            </w:pPr>
            <w:r>
              <w:rPr>
                <w:rFonts w:eastAsiaTheme="minorEastAsia"/>
              </w:rPr>
              <w:t>SDP BiH</w:t>
            </w:r>
          </w:p>
        </w:tc>
        <w:tc>
          <w:tcPr>
            <w:tcW w:w="1879" w:type="dxa"/>
          </w:tcPr>
          <w:p w:rsidR="005E42AD" w:rsidRPr="002D39CB" w:rsidRDefault="005E42AD" w:rsidP="00A402C3">
            <w:pPr>
              <w:jc w:val="center"/>
              <w:cnfStyle w:val="000000000000"/>
              <w:rPr>
                <w:rFonts w:eastAsiaTheme="minorEastAsia"/>
              </w:rPr>
            </w:pPr>
            <w:r>
              <w:rPr>
                <w:rFonts w:eastAsiaTheme="minorEastAsia"/>
              </w:rPr>
              <w:t>15.12.2020.</w:t>
            </w:r>
          </w:p>
        </w:tc>
        <w:tc>
          <w:tcPr>
            <w:tcW w:w="1700" w:type="dxa"/>
          </w:tcPr>
          <w:p w:rsidR="005E42AD" w:rsidRPr="002D39CB" w:rsidRDefault="005E42AD" w:rsidP="00A402C3">
            <w:pPr>
              <w:jc w:val="center"/>
              <w:cnfStyle w:val="000000000000"/>
              <w:rPr>
                <w:rFonts w:eastAsiaTheme="minorEastAsia"/>
              </w:rPr>
            </w:pPr>
            <w:r>
              <w:rPr>
                <w:rFonts w:eastAsiaTheme="minorEastAsia"/>
              </w:rPr>
              <w:t>2</w:t>
            </w:r>
          </w:p>
        </w:tc>
      </w:tr>
      <w:tr w:rsidR="005E42AD" w:rsidRPr="002D39CB" w:rsidTr="00A402C3">
        <w:trPr>
          <w:cnfStyle w:val="000000100000"/>
          <w:trHeight w:val="202"/>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7</w:t>
            </w:r>
          </w:p>
        </w:tc>
        <w:tc>
          <w:tcPr>
            <w:tcW w:w="1943" w:type="dxa"/>
          </w:tcPr>
          <w:p w:rsidR="005E42AD" w:rsidRPr="002D39CB" w:rsidRDefault="005E42AD" w:rsidP="00A402C3">
            <w:pPr>
              <w:cnfStyle w:val="000000100000"/>
              <w:rPr>
                <w:rFonts w:eastAsiaTheme="minorEastAsia"/>
              </w:rPr>
            </w:pPr>
            <w:r>
              <w:rPr>
                <w:rFonts w:eastAsiaTheme="minorEastAsia"/>
              </w:rPr>
              <w:t>Maja Bajramović</w:t>
            </w:r>
          </w:p>
        </w:tc>
        <w:tc>
          <w:tcPr>
            <w:tcW w:w="2583" w:type="dxa"/>
            <w:gridSpan w:val="2"/>
          </w:tcPr>
          <w:p w:rsidR="005E42AD" w:rsidRPr="002D39CB" w:rsidRDefault="005E42AD" w:rsidP="00A402C3">
            <w:pPr>
              <w:jc w:val="center"/>
              <w:cnfStyle w:val="000000100000"/>
              <w:rPr>
                <w:rFonts w:eastAsiaTheme="minorEastAsia"/>
              </w:rPr>
            </w:pPr>
            <w:r>
              <w:rPr>
                <w:rFonts w:eastAsiaTheme="minorEastAsia"/>
              </w:rPr>
              <w:t>SDP BiH</w:t>
            </w:r>
          </w:p>
        </w:tc>
        <w:tc>
          <w:tcPr>
            <w:tcW w:w="1879" w:type="dxa"/>
          </w:tcPr>
          <w:p w:rsidR="005E42AD" w:rsidRPr="002D39CB" w:rsidRDefault="005E42AD" w:rsidP="00A402C3">
            <w:pPr>
              <w:jc w:val="center"/>
              <w:cnfStyle w:val="000000100000"/>
              <w:rPr>
                <w:rFonts w:eastAsiaTheme="minorEastAsia"/>
              </w:rPr>
            </w:pPr>
            <w:r>
              <w:rPr>
                <w:rFonts w:eastAsiaTheme="minorEastAsia"/>
              </w:rPr>
              <w:t>15.12.2020.</w:t>
            </w:r>
          </w:p>
        </w:tc>
        <w:tc>
          <w:tcPr>
            <w:tcW w:w="1700" w:type="dxa"/>
          </w:tcPr>
          <w:p w:rsidR="005E42AD" w:rsidRPr="002D39CB" w:rsidRDefault="005E42AD" w:rsidP="00A402C3">
            <w:pPr>
              <w:jc w:val="center"/>
              <w:cnfStyle w:val="000000100000"/>
              <w:rPr>
                <w:rFonts w:eastAsiaTheme="minorEastAsia"/>
              </w:rPr>
            </w:pPr>
            <w:r>
              <w:rPr>
                <w:rFonts w:eastAsiaTheme="minorEastAsia"/>
              </w:rPr>
              <w:t>1</w:t>
            </w:r>
          </w:p>
        </w:tc>
      </w:tr>
      <w:tr w:rsidR="005E42AD" w:rsidRPr="002D39CB" w:rsidTr="00A402C3">
        <w:trPr>
          <w:trHeight w:val="392"/>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8</w:t>
            </w:r>
          </w:p>
        </w:tc>
        <w:tc>
          <w:tcPr>
            <w:tcW w:w="1943" w:type="dxa"/>
          </w:tcPr>
          <w:p w:rsidR="005E42AD" w:rsidRPr="002D39CB" w:rsidRDefault="005E42AD" w:rsidP="00A402C3">
            <w:pPr>
              <w:cnfStyle w:val="000000000000"/>
              <w:rPr>
                <w:rFonts w:eastAsiaTheme="minorEastAsia"/>
              </w:rPr>
            </w:pPr>
            <w:r>
              <w:rPr>
                <w:rFonts w:eastAsiaTheme="minorEastAsia"/>
              </w:rPr>
              <w:t>Erna Merdić Smailhodžić</w:t>
            </w:r>
          </w:p>
        </w:tc>
        <w:tc>
          <w:tcPr>
            <w:tcW w:w="2583" w:type="dxa"/>
            <w:gridSpan w:val="2"/>
          </w:tcPr>
          <w:p w:rsidR="005E42AD" w:rsidRPr="002D39CB" w:rsidRDefault="005E42AD" w:rsidP="00A402C3">
            <w:pPr>
              <w:jc w:val="center"/>
              <w:cnfStyle w:val="000000000000"/>
              <w:rPr>
                <w:rFonts w:eastAsiaTheme="minorEastAsia"/>
              </w:rPr>
            </w:pPr>
            <w:r>
              <w:rPr>
                <w:rFonts w:eastAsiaTheme="minorEastAsia"/>
              </w:rPr>
              <w:t>SDA</w:t>
            </w:r>
          </w:p>
        </w:tc>
        <w:tc>
          <w:tcPr>
            <w:tcW w:w="1879" w:type="dxa"/>
          </w:tcPr>
          <w:p w:rsidR="005E42AD" w:rsidRPr="002D39CB" w:rsidRDefault="005E42AD" w:rsidP="00A402C3">
            <w:pPr>
              <w:jc w:val="center"/>
              <w:cnfStyle w:val="000000000000"/>
              <w:rPr>
                <w:rFonts w:eastAsiaTheme="minorEastAsia"/>
              </w:rPr>
            </w:pPr>
            <w:r>
              <w:rPr>
                <w:rFonts w:eastAsiaTheme="minorEastAsia"/>
              </w:rPr>
              <w:t>15.12.2020.</w:t>
            </w:r>
          </w:p>
        </w:tc>
        <w:tc>
          <w:tcPr>
            <w:tcW w:w="1700" w:type="dxa"/>
          </w:tcPr>
          <w:p w:rsidR="005E42AD" w:rsidRPr="002D39CB" w:rsidRDefault="005E42AD" w:rsidP="00A402C3">
            <w:pPr>
              <w:jc w:val="center"/>
              <w:cnfStyle w:val="000000000000"/>
              <w:rPr>
                <w:rFonts w:eastAsiaTheme="minorEastAsia"/>
              </w:rPr>
            </w:pPr>
            <w:r>
              <w:rPr>
                <w:rFonts w:eastAsiaTheme="minorEastAsia"/>
              </w:rPr>
              <w:t>1</w:t>
            </w:r>
          </w:p>
        </w:tc>
      </w:tr>
      <w:tr w:rsidR="005E42AD" w:rsidRPr="002D39CB" w:rsidTr="00A402C3">
        <w:trPr>
          <w:cnfStyle w:val="000000100000"/>
          <w:trHeight w:val="202"/>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9</w:t>
            </w:r>
          </w:p>
        </w:tc>
        <w:tc>
          <w:tcPr>
            <w:tcW w:w="1943" w:type="dxa"/>
          </w:tcPr>
          <w:p w:rsidR="005E42AD" w:rsidRPr="002D39CB" w:rsidRDefault="005E42AD" w:rsidP="00A402C3">
            <w:pPr>
              <w:cnfStyle w:val="000000100000"/>
              <w:rPr>
                <w:rFonts w:eastAsiaTheme="minorEastAsia"/>
              </w:rPr>
            </w:pPr>
            <w:r>
              <w:rPr>
                <w:rFonts w:eastAsiaTheme="minorEastAsia"/>
              </w:rPr>
              <w:t>Almin Dohranović</w:t>
            </w:r>
          </w:p>
        </w:tc>
        <w:tc>
          <w:tcPr>
            <w:tcW w:w="2583" w:type="dxa"/>
            <w:gridSpan w:val="2"/>
          </w:tcPr>
          <w:p w:rsidR="005E42AD" w:rsidRPr="002D39CB" w:rsidRDefault="005E42AD" w:rsidP="00A402C3">
            <w:pPr>
              <w:jc w:val="center"/>
              <w:cnfStyle w:val="000000100000"/>
              <w:rPr>
                <w:rFonts w:eastAsiaTheme="minorEastAsia"/>
              </w:rPr>
            </w:pPr>
            <w:r>
              <w:rPr>
                <w:rFonts w:eastAsiaTheme="minorEastAsia"/>
              </w:rPr>
              <w:t>SDA</w:t>
            </w:r>
          </w:p>
        </w:tc>
        <w:tc>
          <w:tcPr>
            <w:tcW w:w="1879" w:type="dxa"/>
          </w:tcPr>
          <w:p w:rsidR="005E42AD" w:rsidRPr="002D39CB" w:rsidRDefault="005E42AD" w:rsidP="00A402C3">
            <w:pPr>
              <w:jc w:val="center"/>
              <w:cnfStyle w:val="000000100000"/>
              <w:rPr>
                <w:rFonts w:eastAsiaTheme="minorEastAsia"/>
              </w:rPr>
            </w:pPr>
            <w:r>
              <w:rPr>
                <w:rFonts w:eastAsiaTheme="minorEastAsia"/>
              </w:rPr>
              <w:t>9.1.2021.</w:t>
            </w:r>
          </w:p>
        </w:tc>
        <w:tc>
          <w:tcPr>
            <w:tcW w:w="1700" w:type="dxa"/>
          </w:tcPr>
          <w:p w:rsidR="005E42AD" w:rsidRPr="002D39CB" w:rsidRDefault="005E42AD" w:rsidP="00A402C3">
            <w:pPr>
              <w:jc w:val="center"/>
              <w:cnfStyle w:val="000000100000"/>
              <w:rPr>
                <w:rFonts w:eastAsiaTheme="minorEastAsia"/>
              </w:rPr>
            </w:pPr>
            <w:r>
              <w:rPr>
                <w:rFonts w:eastAsiaTheme="minorEastAsia"/>
              </w:rPr>
              <w:t>1</w:t>
            </w:r>
          </w:p>
        </w:tc>
      </w:tr>
      <w:tr w:rsidR="005E42AD" w:rsidRPr="002D39CB" w:rsidTr="00A402C3">
        <w:trPr>
          <w:trHeight w:val="202"/>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10</w:t>
            </w:r>
          </w:p>
        </w:tc>
        <w:tc>
          <w:tcPr>
            <w:tcW w:w="1943" w:type="dxa"/>
          </w:tcPr>
          <w:p w:rsidR="005E42AD" w:rsidRPr="002D39CB" w:rsidRDefault="005E42AD" w:rsidP="00A402C3">
            <w:pPr>
              <w:cnfStyle w:val="000000000000"/>
              <w:rPr>
                <w:rFonts w:eastAsiaTheme="minorEastAsia"/>
              </w:rPr>
            </w:pPr>
            <w:r>
              <w:rPr>
                <w:rFonts w:eastAsiaTheme="minorEastAsia"/>
              </w:rPr>
              <w:t>Šefik Jusić</w:t>
            </w:r>
          </w:p>
        </w:tc>
        <w:tc>
          <w:tcPr>
            <w:tcW w:w="2583" w:type="dxa"/>
            <w:gridSpan w:val="2"/>
          </w:tcPr>
          <w:p w:rsidR="005E42AD" w:rsidRPr="002D39CB" w:rsidRDefault="005E42AD" w:rsidP="00A402C3">
            <w:pPr>
              <w:jc w:val="center"/>
              <w:cnfStyle w:val="000000000000"/>
              <w:rPr>
                <w:rFonts w:eastAsiaTheme="minorEastAsia"/>
              </w:rPr>
            </w:pPr>
            <w:r>
              <w:rPr>
                <w:rFonts w:eastAsiaTheme="minorEastAsia"/>
              </w:rPr>
              <w:t>SDA</w:t>
            </w:r>
          </w:p>
        </w:tc>
        <w:tc>
          <w:tcPr>
            <w:tcW w:w="1879" w:type="dxa"/>
          </w:tcPr>
          <w:p w:rsidR="005E42AD" w:rsidRPr="002D39CB" w:rsidRDefault="005E42AD" w:rsidP="00A402C3">
            <w:pPr>
              <w:jc w:val="center"/>
              <w:cnfStyle w:val="000000000000"/>
              <w:rPr>
                <w:rFonts w:eastAsiaTheme="minorEastAsia"/>
              </w:rPr>
            </w:pPr>
            <w:r>
              <w:rPr>
                <w:rFonts w:eastAsiaTheme="minorEastAsia"/>
              </w:rPr>
              <w:t>15.12.2020.</w:t>
            </w:r>
          </w:p>
        </w:tc>
        <w:tc>
          <w:tcPr>
            <w:tcW w:w="1700" w:type="dxa"/>
          </w:tcPr>
          <w:p w:rsidR="005E42AD" w:rsidRPr="002D39CB" w:rsidRDefault="005E42AD" w:rsidP="00A402C3">
            <w:pPr>
              <w:jc w:val="center"/>
              <w:cnfStyle w:val="000000000000"/>
              <w:rPr>
                <w:rFonts w:eastAsiaTheme="minorEastAsia"/>
              </w:rPr>
            </w:pPr>
            <w:r>
              <w:rPr>
                <w:rFonts w:eastAsiaTheme="minorEastAsia"/>
              </w:rPr>
              <w:t>1</w:t>
            </w:r>
          </w:p>
        </w:tc>
      </w:tr>
      <w:tr w:rsidR="005E42AD" w:rsidRPr="002D39CB" w:rsidTr="00A402C3">
        <w:trPr>
          <w:cnfStyle w:val="000000100000"/>
          <w:trHeight w:val="189"/>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11</w:t>
            </w:r>
          </w:p>
        </w:tc>
        <w:tc>
          <w:tcPr>
            <w:tcW w:w="1943" w:type="dxa"/>
          </w:tcPr>
          <w:p w:rsidR="005E42AD" w:rsidRPr="002D39CB" w:rsidRDefault="005E42AD" w:rsidP="00A402C3">
            <w:pPr>
              <w:cnfStyle w:val="000000100000"/>
              <w:rPr>
                <w:rFonts w:eastAsiaTheme="minorEastAsia"/>
              </w:rPr>
            </w:pPr>
            <w:r>
              <w:rPr>
                <w:rFonts w:eastAsiaTheme="minorEastAsia"/>
              </w:rPr>
              <w:t>Hakija Osmić</w:t>
            </w:r>
          </w:p>
        </w:tc>
        <w:tc>
          <w:tcPr>
            <w:tcW w:w="2583" w:type="dxa"/>
            <w:gridSpan w:val="2"/>
          </w:tcPr>
          <w:p w:rsidR="005E42AD" w:rsidRPr="002D39CB" w:rsidRDefault="005E42AD" w:rsidP="00A402C3">
            <w:pPr>
              <w:jc w:val="center"/>
              <w:cnfStyle w:val="000000100000"/>
              <w:rPr>
                <w:rFonts w:eastAsiaTheme="minorEastAsia"/>
              </w:rPr>
            </w:pPr>
            <w:r>
              <w:rPr>
                <w:rFonts w:eastAsiaTheme="minorEastAsia"/>
              </w:rPr>
              <w:t>SDA</w:t>
            </w:r>
          </w:p>
        </w:tc>
        <w:tc>
          <w:tcPr>
            <w:tcW w:w="1879" w:type="dxa"/>
          </w:tcPr>
          <w:p w:rsidR="005E42AD" w:rsidRPr="002D39CB" w:rsidRDefault="005E42AD" w:rsidP="00A402C3">
            <w:pPr>
              <w:jc w:val="center"/>
              <w:cnfStyle w:val="000000100000"/>
              <w:rPr>
                <w:rFonts w:eastAsiaTheme="minorEastAsia"/>
              </w:rPr>
            </w:pPr>
            <w:r>
              <w:rPr>
                <w:rFonts w:eastAsiaTheme="minorEastAsia"/>
              </w:rPr>
              <w:t>15.12.2020.</w:t>
            </w:r>
          </w:p>
        </w:tc>
        <w:tc>
          <w:tcPr>
            <w:tcW w:w="1700" w:type="dxa"/>
          </w:tcPr>
          <w:p w:rsidR="005E42AD" w:rsidRPr="002D39CB" w:rsidRDefault="005E42AD" w:rsidP="00A402C3">
            <w:pPr>
              <w:jc w:val="center"/>
              <w:cnfStyle w:val="000000100000"/>
              <w:rPr>
                <w:rFonts w:eastAsiaTheme="minorEastAsia"/>
              </w:rPr>
            </w:pPr>
            <w:r>
              <w:rPr>
                <w:rFonts w:eastAsiaTheme="minorEastAsia"/>
              </w:rPr>
              <w:t>3</w:t>
            </w:r>
          </w:p>
        </w:tc>
      </w:tr>
      <w:tr w:rsidR="005E42AD" w:rsidRPr="002D39CB" w:rsidTr="00A402C3">
        <w:trPr>
          <w:trHeight w:val="202"/>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12</w:t>
            </w:r>
          </w:p>
        </w:tc>
        <w:tc>
          <w:tcPr>
            <w:tcW w:w="1943" w:type="dxa"/>
          </w:tcPr>
          <w:p w:rsidR="005E42AD" w:rsidRPr="002D39CB" w:rsidRDefault="005E42AD" w:rsidP="00A402C3">
            <w:pPr>
              <w:cnfStyle w:val="000000000000"/>
              <w:rPr>
                <w:rFonts w:eastAsiaTheme="minorEastAsia"/>
              </w:rPr>
            </w:pPr>
            <w:r>
              <w:rPr>
                <w:rFonts w:eastAsiaTheme="minorEastAsia"/>
              </w:rPr>
              <w:t>Rasim Mujkić</w:t>
            </w:r>
          </w:p>
        </w:tc>
        <w:tc>
          <w:tcPr>
            <w:tcW w:w="2583" w:type="dxa"/>
            <w:gridSpan w:val="2"/>
          </w:tcPr>
          <w:p w:rsidR="005E42AD" w:rsidRPr="002D39CB" w:rsidRDefault="005E42AD" w:rsidP="00A402C3">
            <w:pPr>
              <w:jc w:val="center"/>
              <w:cnfStyle w:val="000000000000"/>
              <w:rPr>
                <w:rFonts w:eastAsiaTheme="minorEastAsia"/>
              </w:rPr>
            </w:pPr>
            <w:r>
              <w:rPr>
                <w:rFonts w:eastAsiaTheme="minorEastAsia"/>
              </w:rPr>
              <w:t>SDA</w:t>
            </w:r>
          </w:p>
        </w:tc>
        <w:tc>
          <w:tcPr>
            <w:tcW w:w="1879" w:type="dxa"/>
          </w:tcPr>
          <w:p w:rsidR="005E42AD" w:rsidRPr="002D39CB" w:rsidRDefault="005E42AD" w:rsidP="00A402C3">
            <w:pPr>
              <w:jc w:val="center"/>
              <w:cnfStyle w:val="000000000000"/>
              <w:rPr>
                <w:rFonts w:eastAsiaTheme="minorEastAsia"/>
              </w:rPr>
            </w:pPr>
            <w:r>
              <w:rPr>
                <w:rFonts w:eastAsiaTheme="minorEastAsia"/>
              </w:rPr>
              <w:t>15.12.2020.</w:t>
            </w:r>
          </w:p>
        </w:tc>
        <w:tc>
          <w:tcPr>
            <w:tcW w:w="1700" w:type="dxa"/>
          </w:tcPr>
          <w:p w:rsidR="005E42AD" w:rsidRPr="002D39CB" w:rsidRDefault="005E42AD" w:rsidP="00A402C3">
            <w:pPr>
              <w:jc w:val="center"/>
              <w:cnfStyle w:val="000000000000"/>
              <w:rPr>
                <w:rFonts w:eastAsiaTheme="minorEastAsia"/>
              </w:rPr>
            </w:pPr>
            <w:r>
              <w:rPr>
                <w:rFonts w:eastAsiaTheme="minorEastAsia"/>
              </w:rPr>
              <w:t>1</w:t>
            </w:r>
          </w:p>
        </w:tc>
      </w:tr>
      <w:tr w:rsidR="005E42AD" w:rsidRPr="002D39CB" w:rsidTr="00A402C3">
        <w:trPr>
          <w:cnfStyle w:val="000000100000"/>
          <w:trHeight w:val="189"/>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13</w:t>
            </w:r>
          </w:p>
        </w:tc>
        <w:tc>
          <w:tcPr>
            <w:tcW w:w="1943" w:type="dxa"/>
          </w:tcPr>
          <w:p w:rsidR="005E42AD" w:rsidRPr="002D39CB" w:rsidRDefault="005E42AD" w:rsidP="00A402C3">
            <w:pPr>
              <w:cnfStyle w:val="000000100000"/>
              <w:rPr>
                <w:rFonts w:eastAsiaTheme="minorEastAsia"/>
              </w:rPr>
            </w:pPr>
            <w:r>
              <w:rPr>
                <w:rFonts w:eastAsiaTheme="minorEastAsia"/>
              </w:rPr>
              <w:t>Hakija Bošnjaković</w:t>
            </w:r>
          </w:p>
        </w:tc>
        <w:tc>
          <w:tcPr>
            <w:tcW w:w="2583" w:type="dxa"/>
            <w:gridSpan w:val="2"/>
          </w:tcPr>
          <w:p w:rsidR="005E42AD" w:rsidRPr="002D39CB" w:rsidRDefault="005E42AD" w:rsidP="00A402C3">
            <w:pPr>
              <w:jc w:val="center"/>
              <w:cnfStyle w:val="000000100000"/>
              <w:rPr>
                <w:rFonts w:eastAsiaTheme="minorEastAsia"/>
              </w:rPr>
            </w:pPr>
            <w:r>
              <w:rPr>
                <w:rFonts w:eastAsiaTheme="minorEastAsia"/>
              </w:rPr>
              <w:t>SDA</w:t>
            </w:r>
          </w:p>
        </w:tc>
        <w:tc>
          <w:tcPr>
            <w:tcW w:w="1879" w:type="dxa"/>
          </w:tcPr>
          <w:p w:rsidR="005E42AD" w:rsidRPr="002D39CB" w:rsidRDefault="005E42AD" w:rsidP="00A402C3">
            <w:pPr>
              <w:jc w:val="center"/>
              <w:cnfStyle w:val="000000100000"/>
              <w:rPr>
                <w:rFonts w:eastAsiaTheme="minorEastAsia"/>
              </w:rPr>
            </w:pPr>
            <w:r>
              <w:rPr>
                <w:rFonts w:eastAsiaTheme="minorEastAsia"/>
              </w:rPr>
              <w:t>15.12.2020.</w:t>
            </w:r>
          </w:p>
        </w:tc>
        <w:tc>
          <w:tcPr>
            <w:tcW w:w="1700" w:type="dxa"/>
          </w:tcPr>
          <w:p w:rsidR="005E42AD" w:rsidRPr="002D39CB" w:rsidRDefault="005E42AD" w:rsidP="00A402C3">
            <w:pPr>
              <w:jc w:val="center"/>
              <w:cnfStyle w:val="000000100000"/>
              <w:rPr>
                <w:rFonts w:eastAsiaTheme="minorEastAsia"/>
              </w:rPr>
            </w:pPr>
            <w:r>
              <w:rPr>
                <w:rFonts w:eastAsiaTheme="minorEastAsia"/>
              </w:rPr>
              <w:t>3</w:t>
            </w:r>
          </w:p>
        </w:tc>
      </w:tr>
      <w:tr w:rsidR="005E42AD" w:rsidRPr="002D39CB" w:rsidTr="00A402C3">
        <w:trPr>
          <w:trHeight w:val="605"/>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14</w:t>
            </w:r>
          </w:p>
        </w:tc>
        <w:tc>
          <w:tcPr>
            <w:tcW w:w="1943" w:type="dxa"/>
          </w:tcPr>
          <w:p w:rsidR="005E42AD" w:rsidRPr="002D39CB" w:rsidRDefault="005E42AD" w:rsidP="00A402C3">
            <w:pPr>
              <w:cnfStyle w:val="000000000000"/>
              <w:rPr>
                <w:rFonts w:eastAsiaTheme="minorEastAsia"/>
              </w:rPr>
            </w:pPr>
            <w:r>
              <w:rPr>
                <w:rFonts w:eastAsiaTheme="minorEastAsia"/>
              </w:rPr>
              <w:t>Armin Imamović</w:t>
            </w:r>
          </w:p>
        </w:tc>
        <w:tc>
          <w:tcPr>
            <w:tcW w:w="2583" w:type="dxa"/>
            <w:gridSpan w:val="2"/>
          </w:tcPr>
          <w:p w:rsidR="005E42AD" w:rsidRPr="002D39CB" w:rsidRDefault="005E42AD" w:rsidP="00A402C3">
            <w:pPr>
              <w:jc w:val="center"/>
              <w:cnfStyle w:val="000000000000"/>
              <w:rPr>
                <w:rFonts w:eastAsiaTheme="minorEastAsia"/>
              </w:rPr>
            </w:pPr>
            <w:r>
              <w:rPr>
                <w:rFonts w:eastAsiaTheme="minorEastAsia"/>
              </w:rPr>
              <w:t>Nezavisna bosanskohercegovačka lista</w:t>
            </w:r>
          </w:p>
        </w:tc>
        <w:tc>
          <w:tcPr>
            <w:tcW w:w="1879" w:type="dxa"/>
          </w:tcPr>
          <w:p w:rsidR="005E42AD" w:rsidRPr="002D39CB" w:rsidRDefault="005E42AD" w:rsidP="00A402C3">
            <w:pPr>
              <w:jc w:val="center"/>
              <w:cnfStyle w:val="000000000000"/>
              <w:rPr>
                <w:rFonts w:eastAsiaTheme="minorEastAsia"/>
              </w:rPr>
            </w:pPr>
            <w:r>
              <w:rPr>
                <w:rFonts w:eastAsiaTheme="minorEastAsia"/>
              </w:rPr>
              <w:t>15.12.2020.</w:t>
            </w:r>
          </w:p>
        </w:tc>
        <w:tc>
          <w:tcPr>
            <w:tcW w:w="1700" w:type="dxa"/>
          </w:tcPr>
          <w:p w:rsidR="005E42AD" w:rsidRPr="002D39CB" w:rsidRDefault="005E42AD" w:rsidP="00A402C3">
            <w:pPr>
              <w:jc w:val="center"/>
              <w:cnfStyle w:val="000000000000"/>
              <w:rPr>
                <w:rFonts w:eastAsiaTheme="minorEastAsia"/>
              </w:rPr>
            </w:pPr>
            <w:r>
              <w:rPr>
                <w:rFonts w:eastAsiaTheme="minorEastAsia"/>
              </w:rPr>
              <w:t>1</w:t>
            </w:r>
          </w:p>
        </w:tc>
      </w:tr>
      <w:tr w:rsidR="005E42AD" w:rsidRPr="002D39CB" w:rsidTr="00A402C3">
        <w:trPr>
          <w:cnfStyle w:val="000000100000"/>
          <w:trHeight w:val="595"/>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15</w:t>
            </w:r>
          </w:p>
        </w:tc>
        <w:tc>
          <w:tcPr>
            <w:tcW w:w="1943" w:type="dxa"/>
          </w:tcPr>
          <w:p w:rsidR="005E42AD" w:rsidRPr="002D39CB" w:rsidRDefault="005E42AD" w:rsidP="00A402C3">
            <w:pPr>
              <w:cnfStyle w:val="000000100000"/>
              <w:rPr>
                <w:rFonts w:eastAsiaTheme="minorEastAsia"/>
              </w:rPr>
            </w:pPr>
            <w:r>
              <w:rPr>
                <w:rFonts w:eastAsiaTheme="minorEastAsia"/>
              </w:rPr>
              <w:t>Haris Mujanović</w:t>
            </w:r>
          </w:p>
        </w:tc>
        <w:tc>
          <w:tcPr>
            <w:tcW w:w="2583" w:type="dxa"/>
            <w:gridSpan w:val="2"/>
          </w:tcPr>
          <w:p w:rsidR="005E42AD" w:rsidRPr="002D39CB" w:rsidRDefault="005E42AD" w:rsidP="00A402C3">
            <w:pPr>
              <w:jc w:val="center"/>
              <w:cnfStyle w:val="000000100000"/>
              <w:rPr>
                <w:rFonts w:eastAsiaTheme="minorEastAsia"/>
              </w:rPr>
            </w:pPr>
            <w:r>
              <w:rPr>
                <w:rFonts w:eastAsiaTheme="minorEastAsia"/>
              </w:rPr>
              <w:t>Nezavisna bosanskohercegovačka lista</w:t>
            </w:r>
          </w:p>
        </w:tc>
        <w:tc>
          <w:tcPr>
            <w:tcW w:w="1879" w:type="dxa"/>
          </w:tcPr>
          <w:p w:rsidR="005E42AD" w:rsidRPr="002D39CB" w:rsidRDefault="005E42AD" w:rsidP="00A402C3">
            <w:pPr>
              <w:jc w:val="center"/>
              <w:cnfStyle w:val="000000100000"/>
              <w:rPr>
                <w:rFonts w:eastAsiaTheme="minorEastAsia"/>
              </w:rPr>
            </w:pPr>
            <w:r>
              <w:rPr>
                <w:rFonts w:eastAsiaTheme="minorEastAsia"/>
              </w:rPr>
              <w:t>15.12.2020.</w:t>
            </w:r>
          </w:p>
        </w:tc>
        <w:tc>
          <w:tcPr>
            <w:tcW w:w="1700" w:type="dxa"/>
          </w:tcPr>
          <w:p w:rsidR="005E42AD" w:rsidRPr="002D39CB" w:rsidRDefault="005E42AD" w:rsidP="00A402C3">
            <w:pPr>
              <w:jc w:val="center"/>
              <w:cnfStyle w:val="000000100000"/>
              <w:rPr>
                <w:rFonts w:eastAsiaTheme="minorEastAsia"/>
              </w:rPr>
            </w:pPr>
            <w:r>
              <w:rPr>
                <w:rFonts w:eastAsiaTheme="minorEastAsia"/>
              </w:rPr>
              <w:t>1</w:t>
            </w:r>
          </w:p>
        </w:tc>
      </w:tr>
      <w:tr w:rsidR="005E42AD" w:rsidRPr="002D39CB" w:rsidTr="00A402C3">
        <w:trPr>
          <w:trHeight w:val="595"/>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16</w:t>
            </w:r>
          </w:p>
        </w:tc>
        <w:tc>
          <w:tcPr>
            <w:tcW w:w="1943" w:type="dxa"/>
          </w:tcPr>
          <w:p w:rsidR="005E42AD" w:rsidRPr="002D39CB" w:rsidRDefault="005E42AD" w:rsidP="00A402C3">
            <w:pPr>
              <w:cnfStyle w:val="000000000000"/>
              <w:rPr>
                <w:rFonts w:eastAsiaTheme="minorEastAsia"/>
              </w:rPr>
            </w:pPr>
            <w:r>
              <w:rPr>
                <w:rFonts w:eastAsiaTheme="minorEastAsia"/>
              </w:rPr>
              <w:t>Samir Skejić</w:t>
            </w:r>
            <w:r w:rsidR="00940C1A" w:rsidRPr="00940C1A">
              <w:rPr>
                <w:rFonts w:eastAsiaTheme="minorEastAsia"/>
                <w:color w:val="FF0000"/>
              </w:rPr>
              <w:t>*</w:t>
            </w:r>
          </w:p>
        </w:tc>
        <w:tc>
          <w:tcPr>
            <w:tcW w:w="2583" w:type="dxa"/>
            <w:gridSpan w:val="2"/>
          </w:tcPr>
          <w:p w:rsidR="005E42AD" w:rsidRPr="002D39CB" w:rsidRDefault="005E42AD" w:rsidP="00A402C3">
            <w:pPr>
              <w:jc w:val="center"/>
              <w:cnfStyle w:val="000000000000"/>
              <w:rPr>
                <w:rFonts w:eastAsiaTheme="minorEastAsia"/>
              </w:rPr>
            </w:pPr>
            <w:r>
              <w:rPr>
                <w:rFonts w:eastAsiaTheme="minorEastAsia"/>
              </w:rPr>
              <w:t>Nezavisna bosanskohercegovačka lista</w:t>
            </w:r>
          </w:p>
        </w:tc>
        <w:tc>
          <w:tcPr>
            <w:tcW w:w="1879" w:type="dxa"/>
          </w:tcPr>
          <w:p w:rsidR="005E42AD" w:rsidRPr="002D39CB" w:rsidRDefault="005E42AD" w:rsidP="00A402C3">
            <w:pPr>
              <w:jc w:val="center"/>
              <w:cnfStyle w:val="000000000000"/>
              <w:rPr>
                <w:rFonts w:eastAsiaTheme="minorEastAsia"/>
              </w:rPr>
            </w:pPr>
            <w:r>
              <w:rPr>
                <w:rFonts w:eastAsiaTheme="minorEastAsia"/>
              </w:rPr>
              <w:t>15.12.2020.</w:t>
            </w:r>
          </w:p>
        </w:tc>
        <w:tc>
          <w:tcPr>
            <w:tcW w:w="1700" w:type="dxa"/>
          </w:tcPr>
          <w:p w:rsidR="005E42AD" w:rsidRPr="002D39CB" w:rsidRDefault="005E42AD" w:rsidP="00A402C3">
            <w:pPr>
              <w:jc w:val="center"/>
              <w:cnfStyle w:val="000000000000"/>
              <w:rPr>
                <w:rFonts w:eastAsiaTheme="minorEastAsia"/>
              </w:rPr>
            </w:pPr>
            <w:r>
              <w:rPr>
                <w:rFonts w:eastAsiaTheme="minorEastAsia"/>
              </w:rPr>
              <w:t>1</w:t>
            </w:r>
          </w:p>
        </w:tc>
      </w:tr>
      <w:tr w:rsidR="005E42AD" w:rsidRPr="002D39CB" w:rsidTr="00A402C3">
        <w:trPr>
          <w:cnfStyle w:val="000000100000"/>
          <w:trHeight w:val="605"/>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17</w:t>
            </w:r>
          </w:p>
        </w:tc>
        <w:tc>
          <w:tcPr>
            <w:tcW w:w="1943" w:type="dxa"/>
          </w:tcPr>
          <w:p w:rsidR="005E42AD" w:rsidRPr="002D39CB" w:rsidRDefault="005E42AD" w:rsidP="00A402C3">
            <w:pPr>
              <w:cnfStyle w:val="000000100000"/>
              <w:rPr>
                <w:rFonts w:eastAsiaTheme="minorEastAsia"/>
              </w:rPr>
            </w:pPr>
            <w:r>
              <w:rPr>
                <w:rFonts w:eastAsiaTheme="minorEastAsia"/>
              </w:rPr>
              <w:t>Emir Mujić</w:t>
            </w:r>
          </w:p>
        </w:tc>
        <w:tc>
          <w:tcPr>
            <w:tcW w:w="2583" w:type="dxa"/>
            <w:gridSpan w:val="2"/>
          </w:tcPr>
          <w:p w:rsidR="005E42AD" w:rsidRPr="002D39CB" w:rsidRDefault="005E42AD" w:rsidP="00A402C3">
            <w:pPr>
              <w:jc w:val="center"/>
              <w:cnfStyle w:val="000000100000"/>
              <w:rPr>
                <w:rFonts w:eastAsiaTheme="minorEastAsia"/>
              </w:rPr>
            </w:pPr>
            <w:r>
              <w:rPr>
                <w:rFonts w:eastAsiaTheme="minorEastAsia"/>
              </w:rPr>
              <w:t>Nezavisna bosanskohercegovačka lista</w:t>
            </w:r>
          </w:p>
        </w:tc>
        <w:tc>
          <w:tcPr>
            <w:tcW w:w="1879" w:type="dxa"/>
          </w:tcPr>
          <w:p w:rsidR="005E42AD" w:rsidRDefault="005E42AD" w:rsidP="00A402C3">
            <w:pPr>
              <w:jc w:val="center"/>
              <w:cnfStyle w:val="000000100000"/>
            </w:pPr>
            <w:r w:rsidRPr="009F2D7B">
              <w:rPr>
                <w:rFonts w:eastAsiaTheme="minorEastAsia"/>
              </w:rPr>
              <w:t>15.1</w:t>
            </w:r>
            <w:r>
              <w:rPr>
                <w:rFonts w:eastAsiaTheme="minorEastAsia"/>
              </w:rPr>
              <w:t>2.2020</w:t>
            </w:r>
            <w:r w:rsidRPr="009F2D7B">
              <w:rPr>
                <w:rFonts w:eastAsiaTheme="minorEastAsia"/>
              </w:rPr>
              <w:t>.</w:t>
            </w:r>
          </w:p>
        </w:tc>
        <w:tc>
          <w:tcPr>
            <w:tcW w:w="1700" w:type="dxa"/>
          </w:tcPr>
          <w:p w:rsidR="005E42AD" w:rsidRPr="002D39CB" w:rsidRDefault="005E42AD" w:rsidP="00A402C3">
            <w:pPr>
              <w:jc w:val="center"/>
              <w:cnfStyle w:val="000000100000"/>
              <w:rPr>
                <w:rFonts w:eastAsiaTheme="minorEastAsia"/>
              </w:rPr>
            </w:pPr>
            <w:r>
              <w:rPr>
                <w:rFonts w:eastAsiaTheme="minorEastAsia"/>
              </w:rPr>
              <w:t>1</w:t>
            </w:r>
          </w:p>
        </w:tc>
      </w:tr>
      <w:tr w:rsidR="005E42AD" w:rsidRPr="002D39CB" w:rsidTr="00A402C3">
        <w:trPr>
          <w:trHeight w:val="595"/>
        </w:trPr>
        <w:tc>
          <w:tcPr>
            <w:cnfStyle w:val="001000000000"/>
            <w:tcW w:w="657" w:type="dxa"/>
          </w:tcPr>
          <w:p w:rsidR="005E42AD" w:rsidRPr="002D39CB" w:rsidRDefault="005E42AD" w:rsidP="00A402C3">
            <w:pPr>
              <w:jc w:val="center"/>
              <w:rPr>
                <w:rFonts w:eastAsiaTheme="minorEastAsia"/>
              </w:rPr>
            </w:pPr>
            <w:r>
              <w:rPr>
                <w:rFonts w:eastAsiaTheme="minorEastAsia"/>
              </w:rPr>
              <w:t>18</w:t>
            </w:r>
          </w:p>
        </w:tc>
        <w:tc>
          <w:tcPr>
            <w:tcW w:w="1943" w:type="dxa"/>
          </w:tcPr>
          <w:p w:rsidR="005E42AD" w:rsidRDefault="005E42AD" w:rsidP="00A402C3">
            <w:pPr>
              <w:cnfStyle w:val="000000000000"/>
              <w:rPr>
                <w:rFonts w:eastAsiaTheme="minorEastAsia"/>
              </w:rPr>
            </w:pPr>
            <w:r>
              <w:rPr>
                <w:rFonts w:eastAsiaTheme="minorEastAsia"/>
              </w:rPr>
              <w:t>Refik Ćatić</w:t>
            </w:r>
          </w:p>
        </w:tc>
        <w:tc>
          <w:tcPr>
            <w:tcW w:w="2583" w:type="dxa"/>
            <w:gridSpan w:val="2"/>
          </w:tcPr>
          <w:p w:rsidR="005E42AD" w:rsidRDefault="005E42AD" w:rsidP="00A402C3">
            <w:pPr>
              <w:jc w:val="center"/>
              <w:cnfStyle w:val="000000000000"/>
              <w:rPr>
                <w:rFonts w:eastAsiaTheme="minorEastAsia"/>
              </w:rPr>
            </w:pPr>
            <w:r>
              <w:rPr>
                <w:rFonts w:eastAsiaTheme="minorEastAsia"/>
              </w:rPr>
              <w:t>Nezavisna bosanskohercegovačka lista</w:t>
            </w:r>
          </w:p>
        </w:tc>
        <w:tc>
          <w:tcPr>
            <w:tcW w:w="1879" w:type="dxa"/>
          </w:tcPr>
          <w:p w:rsidR="005E42AD" w:rsidRPr="009F2D7B" w:rsidRDefault="005E42AD" w:rsidP="00A402C3">
            <w:pPr>
              <w:jc w:val="center"/>
              <w:cnfStyle w:val="000000000000"/>
              <w:rPr>
                <w:rFonts w:eastAsiaTheme="minorEastAsia"/>
              </w:rPr>
            </w:pPr>
            <w:r>
              <w:rPr>
                <w:rFonts w:eastAsiaTheme="minorEastAsia"/>
              </w:rPr>
              <w:t>15.12.2020.</w:t>
            </w:r>
          </w:p>
        </w:tc>
        <w:tc>
          <w:tcPr>
            <w:tcW w:w="1700" w:type="dxa"/>
          </w:tcPr>
          <w:p w:rsidR="005E42AD" w:rsidRDefault="005E42AD" w:rsidP="00A402C3">
            <w:pPr>
              <w:jc w:val="center"/>
              <w:cnfStyle w:val="000000000000"/>
              <w:rPr>
                <w:rFonts w:eastAsiaTheme="minorEastAsia"/>
              </w:rPr>
            </w:pPr>
            <w:r>
              <w:rPr>
                <w:rFonts w:eastAsiaTheme="minorEastAsia"/>
              </w:rPr>
              <w:t>2?</w:t>
            </w:r>
          </w:p>
        </w:tc>
      </w:tr>
      <w:tr w:rsidR="005E42AD" w:rsidRPr="002D39CB" w:rsidTr="00A402C3">
        <w:trPr>
          <w:cnfStyle w:val="000000100000"/>
          <w:trHeight w:val="202"/>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1</w:t>
            </w:r>
            <w:r>
              <w:rPr>
                <w:rFonts w:eastAsiaTheme="minorEastAsia"/>
              </w:rPr>
              <w:t>9</w:t>
            </w:r>
          </w:p>
        </w:tc>
        <w:tc>
          <w:tcPr>
            <w:tcW w:w="1943" w:type="dxa"/>
          </w:tcPr>
          <w:p w:rsidR="005E42AD" w:rsidRPr="002D39CB" w:rsidRDefault="005E42AD" w:rsidP="00A402C3">
            <w:pPr>
              <w:cnfStyle w:val="000000100000"/>
              <w:rPr>
                <w:rFonts w:eastAsiaTheme="minorEastAsia"/>
              </w:rPr>
            </w:pPr>
            <w:r>
              <w:rPr>
                <w:rFonts w:eastAsiaTheme="minorEastAsia"/>
              </w:rPr>
              <w:t>Ajdin Polić</w:t>
            </w:r>
          </w:p>
        </w:tc>
        <w:tc>
          <w:tcPr>
            <w:tcW w:w="2583" w:type="dxa"/>
            <w:gridSpan w:val="2"/>
          </w:tcPr>
          <w:p w:rsidR="005E42AD" w:rsidRDefault="005E42AD" w:rsidP="00A402C3">
            <w:pPr>
              <w:jc w:val="center"/>
              <w:cnfStyle w:val="000000100000"/>
            </w:pPr>
            <w:r>
              <w:rPr>
                <w:rFonts w:eastAsiaTheme="minorEastAsia"/>
              </w:rPr>
              <w:t>A-SDA</w:t>
            </w:r>
          </w:p>
        </w:tc>
        <w:tc>
          <w:tcPr>
            <w:tcW w:w="1879" w:type="dxa"/>
          </w:tcPr>
          <w:p w:rsidR="005E42AD" w:rsidRDefault="005E42AD" w:rsidP="00A402C3">
            <w:pPr>
              <w:jc w:val="center"/>
              <w:cnfStyle w:val="000000100000"/>
            </w:pPr>
            <w:r>
              <w:rPr>
                <w:rFonts w:eastAsiaTheme="minorEastAsia"/>
              </w:rPr>
              <w:t>15.12.2020</w:t>
            </w:r>
            <w:r w:rsidRPr="009F2D7B">
              <w:rPr>
                <w:rFonts w:eastAsiaTheme="minorEastAsia"/>
              </w:rPr>
              <w:t>.</w:t>
            </w:r>
          </w:p>
        </w:tc>
        <w:tc>
          <w:tcPr>
            <w:tcW w:w="1700" w:type="dxa"/>
          </w:tcPr>
          <w:p w:rsidR="005E42AD" w:rsidRPr="002D39CB" w:rsidRDefault="005E42AD" w:rsidP="00A402C3">
            <w:pPr>
              <w:jc w:val="center"/>
              <w:cnfStyle w:val="000000100000"/>
              <w:rPr>
                <w:rFonts w:eastAsiaTheme="minorEastAsia"/>
              </w:rPr>
            </w:pPr>
            <w:r>
              <w:rPr>
                <w:rFonts w:eastAsiaTheme="minorEastAsia"/>
              </w:rPr>
              <w:t>1</w:t>
            </w:r>
          </w:p>
        </w:tc>
      </w:tr>
      <w:tr w:rsidR="005E42AD" w:rsidRPr="002D39CB" w:rsidTr="00A402C3">
        <w:trPr>
          <w:trHeight w:val="189"/>
        </w:trPr>
        <w:tc>
          <w:tcPr>
            <w:cnfStyle w:val="001000000000"/>
            <w:tcW w:w="657" w:type="dxa"/>
          </w:tcPr>
          <w:p w:rsidR="005E42AD" w:rsidRPr="002D39CB" w:rsidRDefault="005E42AD" w:rsidP="00A402C3">
            <w:pPr>
              <w:jc w:val="center"/>
              <w:rPr>
                <w:rFonts w:eastAsiaTheme="minorEastAsia"/>
              </w:rPr>
            </w:pPr>
            <w:r>
              <w:rPr>
                <w:rFonts w:eastAsiaTheme="minorEastAsia"/>
              </w:rPr>
              <w:t>20</w:t>
            </w:r>
          </w:p>
        </w:tc>
        <w:tc>
          <w:tcPr>
            <w:tcW w:w="1943" w:type="dxa"/>
          </w:tcPr>
          <w:p w:rsidR="005E42AD" w:rsidRPr="002D39CB" w:rsidRDefault="005E42AD" w:rsidP="00A402C3">
            <w:pPr>
              <w:cnfStyle w:val="000000000000"/>
              <w:rPr>
                <w:rFonts w:eastAsiaTheme="minorEastAsia"/>
              </w:rPr>
            </w:pPr>
            <w:r>
              <w:rPr>
                <w:rFonts w:eastAsiaTheme="minorEastAsia"/>
              </w:rPr>
              <w:t>Amer Avdičević</w:t>
            </w:r>
          </w:p>
        </w:tc>
        <w:tc>
          <w:tcPr>
            <w:tcW w:w="2583" w:type="dxa"/>
            <w:gridSpan w:val="2"/>
          </w:tcPr>
          <w:p w:rsidR="005E42AD" w:rsidRDefault="005E42AD" w:rsidP="00A402C3">
            <w:pPr>
              <w:jc w:val="center"/>
              <w:cnfStyle w:val="000000000000"/>
            </w:pPr>
            <w:r>
              <w:rPr>
                <w:rFonts w:eastAsiaTheme="minorEastAsia"/>
              </w:rPr>
              <w:t>A-SDA</w:t>
            </w:r>
          </w:p>
        </w:tc>
        <w:tc>
          <w:tcPr>
            <w:tcW w:w="1879" w:type="dxa"/>
          </w:tcPr>
          <w:p w:rsidR="005E42AD" w:rsidRDefault="005E42AD" w:rsidP="00A402C3">
            <w:pPr>
              <w:jc w:val="center"/>
              <w:cnfStyle w:val="000000000000"/>
            </w:pPr>
            <w:r w:rsidRPr="009F2D7B">
              <w:rPr>
                <w:rFonts w:eastAsiaTheme="minorEastAsia"/>
              </w:rPr>
              <w:t>15.1</w:t>
            </w:r>
            <w:r>
              <w:rPr>
                <w:rFonts w:eastAsiaTheme="minorEastAsia"/>
              </w:rPr>
              <w:t>2.2020</w:t>
            </w:r>
            <w:r w:rsidRPr="009F2D7B">
              <w:rPr>
                <w:rFonts w:eastAsiaTheme="minorEastAsia"/>
              </w:rPr>
              <w:t>.</w:t>
            </w:r>
          </w:p>
        </w:tc>
        <w:tc>
          <w:tcPr>
            <w:tcW w:w="1700" w:type="dxa"/>
          </w:tcPr>
          <w:p w:rsidR="005E42AD" w:rsidRPr="002D39CB" w:rsidRDefault="005E42AD" w:rsidP="00A402C3">
            <w:pPr>
              <w:jc w:val="center"/>
              <w:cnfStyle w:val="000000000000"/>
              <w:rPr>
                <w:rFonts w:eastAsiaTheme="minorEastAsia"/>
              </w:rPr>
            </w:pPr>
            <w:r>
              <w:rPr>
                <w:rFonts w:eastAsiaTheme="minorEastAsia"/>
              </w:rPr>
              <w:t>2</w:t>
            </w:r>
          </w:p>
        </w:tc>
      </w:tr>
      <w:tr w:rsidR="005E42AD" w:rsidRPr="002D39CB" w:rsidTr="00A402C3">
        <w:trPr>
          <w:cnfStyle w:val="000000100000"/>
          <w:trHeight w:val="202"/>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2</w:t>
            </w:r>
            <w:r>
              <w:rPr>
                <w:rFonts w:eastAsiaTheme="minorEastAsia"/>
              </w:rPr>
              <w:t>1</w:t>
            </w:r>
          </w:p>
        </w:tc>
        <w:tc>
          <w:tcPr>
            <w:tcW w:w="1943" w:type="dxa"/>
          </w:tcPr>
          <w:p w:rsidR="005E42AD" w:rsidRPr="002D39CB" w:rsidRDefault="005E42AD" w:rsidP="00A402C3">
            <w:pPr>
              <w:cnfStyle w:val="000000100000"/>
              <w:rPr>
                <w:rFonts w:eastAsiaTheme="minorEastAsia"/>
              </w:rPr>
            </w:pPr>
            <w:r>
              <w:rPr>
                <w:rFonts w:eastAsiaTheme="minorEastAsia"/>
              </w:rPr>
              <w:t>Demir Buljubašić</w:t>
            </w:r>
          </w:p>
        </w:tc>
        <w:tc>
          <w:tcPr>
            <w:tcW w:w="2583" w:type="dxa"/>
            <w:gridSpan w:val="2"/>
          </w:tcPr>
          <w:p w:rsidR="005E42AD" w:rsidRDefault="005E42AD" w:rsidP="00A402C3">
            <w:pPr>
              <w:jc w:val="center"/>
              <w:cnfStyle w:val="000000100000"/>
            </w:pPr>
            <w:r>
              <w:rPr>
                <w:rFonts w:eastAsiaTheme="minorEastAsia"/>
              </w:rPr>
              <w:t>A-SDA</w:t>
            </w:r>
          </w:p>
        </w:tc>
        <w:tc>
          <w:tcPr>
            <w:tcW w:w="1879" w:type="dxa"/>
          </w:tcPr>
          <w:p w:rsidR="005E42AD" w:rsidRDefault="005E42AD" w:rsidP="00A402C3">
            <w:pPr>
              <w:jc w:val="center"/>
              <w:cnfStyle w:val="000000100000"/>
            </w:pPr>
            <w:r w:rsidRPr="009F2D7B">
              <w:rPr>
                <w:rFonts w:eastAsiaTheme="minorEastAsia"/>
              </w:rPr>
              <w:t>15.1</w:t>
            </w:r>
            <w:r>
              <w:rPr>
                <w:rFonts w:eastAsiaTheme="minorEastAsia"/>
              </w:rPr>
              <w:t>2.2020</w:t>
            </w:r>
            <w:r w:rsidRPr="009F2D7B">
              <w:rPr>
                <w:rFonts w:eastAsiaTheme="minorEastAsia"/>
              </w:rPr>
              <w:t>.</w:t>
            </w:r>
          </w:p>
        </w:tc>
        <w:tc>
          <w:tcPr>
            <w:tcW w:w="1700" w:type="dxa"/>
          </w:tcPr>
          <w:p w:rsidR="005E42AD" w:rsidRPr="002D39CB" w:rsidRDefault="005E42AD" w:rsidP="00A402C3">
            <w:pPr>
              <w:jc w:val="center"/>
              <w:cnfStyle w:val="000000100000"/>
              <w:rPr>
                <w:rFonts w:eastAsiaTheme="minorEastAsia"/>
              </w:rPr>
            </w:pPr>
            <w:r>
              <w:rPr>
                <w:rFonts w:eastAsiaTheme="minorEastAsia"/>
              </w:rPr>
              <w:t>1</w:t>
            </w:r>
          </w:p>
        </w:tc>
      </w:tr>
      <w:tr w:rsidR="005E42AD" w:rsidRPr="002D39CB" w:rsidTr="00A402C3">
        <w:trPr>
          <w:trHeight w:val="189"/>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2</w:t>
            </w:r>
            <w:r>
              <w:rPr>
                <w:rFonts w:eastAsiaTheme="minorEastAsia"/>
              </w:rPr>
              <w:t>2</w:t>
            </w:r>
          </w:p>
        </w:tc>
        <w:tc>
          <w:tcPr>
            <w:tcW w:w="1943" w:type="dxa"/>
          </w:tcPr>
          <w:p w:rsidR="005E42AD" w:rsidRPr="002D39CB" w:rsidRDefault="005E42AD" w:rsidP="00A402C3">
            <w:pPr>
              <w:cnfStyle w:val="000000000000"/>
              <w:rPr>
                <w:rFonts w:eastAsiaTheme="minorEastAsia"/>
              </w:rPr>
            </w:pPr>
            <w:r>
              <w:rPr>
                <w:rFonts w:eastAsiaTheme="minorEastAsia"/>
              </w:rPr>
              <w:t>Ramiz Latifović</w:t>
            </w:r>
          </w:p>
        </w:tc>
        <w:tc>
          <w:tcPr>
            <w:tcW w:w="2583" w:type="dxa"/>
            <w:gridSpan w:val="2"/>
          </w:tcPr>
          <w:p w:rsidR="005E42AD" w:rsidRPr="002D39CB" w:rsidRDefault="005E42AD" w:rsidP="00A402C3">
            <w:pPr>
              <w:jc w:val="center"/>
              <w:cnfStyle w:val="000000000000"/>
              <w:rPr>
                <w:rFonts w:eastAsiaTheme="minorEastAsia"/>
              </w:rPr>
            </w:pPr>
            <w:r>
              <w:rPr>
                <w:rFonts w:eastAsiaTheme="minorEastAsia"/>
              </w:rPr>
              <w:t>SBB</w:t>
            </w:r>
          </w:p>
        </w:tc>
        <w:tc>
          <w:tcPr>
            <w:tcW w:w="1879" w:type="dxa"/>
          </w:tcPr>
          <w:p w:rsidR="005E42AD" w:rsidRDefault="005E42AD" w:rsidP="00A402C3">
            <w:pPr>
              <w:jc w:val="center"/>
              <w:cnfStyle w:val="000000000000"/>
            </w:pPr>
            <w:r>
              <w:rPr>
                <w:rFonts w:eastAsiaTheme="minorEastAsia"/>
              </w:rPr>
              <w:t>9</w:t>
            </w:r>
            <w:r w:rsidRPr="009F2D7B">
              <w:rPr>
                <w:rFonts w:eastAsiaTheme="minorEastAsia"/>
              </w:rPr>
              <w:t>.1.2021.</w:t>
            </w:r>
          </w:p>
        </w:tc>
        <w:tc>
          <w:tcPr>
            <w:tcW w:w="1700" w:type="dxa"/>
          </w:tcPr>
          <w:p w:rsidR="005E42AD" w:rsidRPr="002D39CB" w:rsidRDefault="005E42AD" w:rsidP="00A402C3">
            <w:pPr>
              <w:jc w:val="center"/>
              <w:cnfStyle w:val="000000000000"/>
              <w:rPr>
                <w:rFonts w:eastAsiaTheme="minorEastAsia"/>
              </w:rPr>
            </w:pPr>
            <w:r>
              <w:rPr>
                <w:rFonts w:eastAsiaTheme="minorEastAsia"/>
              </w:rPr>
              <w:t>3</w:t>
            </w:r>
          </w:p>
        </w:tc>
      </w:tr>
      <w:tr w:rsidR="005E42AD" w:rsidRPr="002D39CB" w:rsidTr="00A402C3">
        <w:trPr>
          <w:cnfStyle w:val="000000100000"/>
          <w:trHeight w:val="202"/>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2</w:t>
            </w:r>
            <w:r>
              <w:rPr>
                <w:rFonts w:eastAsiaTheme="minorEastAsia"/>
              </w:rPr>
              <w:t>3</w:t>
            </w:r>
          </w:p>
        </w:tc>
        <w:tc>
          <w:tcPr>
            <w:tcW w:w="1943" w:type="dxa"/>
          </w:tcPr>
          <w:p w:rsidR="005E42AD" w:rsidRPr="002D39CB" w:rsidRDefault="005E42AD" w:rsidP="00A402C3">
            <w:pPr>
              <w:cnfStyle w:val="000000100000"/>
              <w:rPr>
                <w:rFonts w:eastAsiaTheme="minorEastAsia"/>
              </w:rPr>
            </w:pPr>
            <w:r>
              <w:rPr>
                <w:rFonts w:eastAsiaTheme="minorEastAsia"/>
              </w:rPr>
              <w:t>Šemso Fehrić</w:t>
            </w:r>
          </w:p>
        </w:tc>
        <w:tc>
          <w:tcPr>
            <w:tcW w:w="2583" w:type="dxa"/>
            <w:gridSpan w:val="2"/>
          </w:tcPr>
          <w:p w:rsidR="005E42AD" w:rsidRDefault="005E42AD" w:rsidP="00A402C3">
            <w:pPr>
              <w:jc w:val="center"/>
              <w:cnfStyle w:val="000000100000"/>
            </w:pPr>
            <w:r>
              <w:rPr>
                <w:rFonts w:eastAsiaTheme="minorEastAsia"/>
              </w:rPr>
              <w:t>SBB</w:t>
            </w:r>
          </w:p>
        </w:tc>
        <w:tc>
          <w:tcPr>
            <w:tcW w:w="1879" w:type="dxa"/>
          </w:tcPr>
          <w:p w:rsidR="005E42AD" w:rsidRDefault="005E42AD" w:rsidP="00A402C3">
            <w:pPr>
              <w:jc w:val="center"/>
              <w:cnfStyle w:val="000000100000"/>
            </w:pPr>
            <w:r w:rsidRPr="009F2D7B">
              <w:rPr>
                <w:rFonts w:eastAsiaTheme="minorEastAsia"/>
              </w:rPr>
              <w:t>15.1</w:t>
            </w:r>
            <w:r>
              <w:rPr>
                <w:rFonts w:eastAsiaTheme="minorEastAsia"/>
              </w:rPr>
              <w:t>2.2020</w:t>
            </w:r>
            <w:r w:rsidRPr="009F2D7B">
              <w:rPr>
                <w:rFonts w:eastAsiaTheme="minorEastAsia"/>
              </w:rPr>
              <w:t>.</w:t>
            </w:r>
          </w:p>
        </w:tc>
        <w:tc>
          <w:tcPr>
            <w:tcW w:w="1700" w:type="dxa"/>
          </w:tcPr>
          <w:p w:rsidR="005E42AD" w:rsidRPr="002D39CB" w:rsidRDefault="005E42AD" w:rsidP="00A402C3">
            <w:pPr>
              <w:jc w:val="center"/>
              <w:cnfStyle w:val="000000100000"/>
              <w:rPr>
                <w:rFonts w:eastAsiaTheme="minorEastAsia"/>
              </w:rPr>
            </w:pPr>
            <w:r>
              <w:rPr>
                <w:rFonts w:eastAsiaTheme="minorEastAsia"/>
              </w:rPr>
              <w:t>1</w:t>
            </w:r>
          </w:p>
        </w:tc>
      </w:tr>
      <w:tr w:rsidR="005E42AD" w:rsidRPr="002D39CB" w:rsidTr="00A402C3">
        <w:trPr>
          <w:trHeight w:val="202"/>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2</w:t>
            </w:r>
            <w:r>
              <w:rPr>
                <w:rFonts w:eastAsiaTheme="minorEastAsia"/>
              </w:rPr>
              <w:t>4</w:t>
            </w:r>
          </w:p>
        </w:tc>
        <w:tc>
          <w:tcPr>
            <w:tcW w:w="1943" w:type="dxa"/>
          </w:tcPr>
          <w:p w:rsidR="005E42AD" w:rsidRPr="00940C1A" w:rsidRDefault="005E42AD" w:rsidP="00A402C3">
            <w:pPr>
              <w:cnfStyle w:val="000000000000"/>
              <w:rPr>
                <w:rFonts w:eastAsiaTheme="minorEastAsia"/>
                <w:color w:val="FF0000"/>
              </w:rPr>
            </w:pPr>
            <w:r>
              <w:rPr>
                <w:rFonts w:eastAsiaTheme="minorEastAsia"/>
              </w:rPr>
              <w:t>Admir Fojnica</w:t>
            </w:r>
            <w:r w:rsidR="00940C1A" w:rsidRPr="00940C1A">
              <w:rPr>
                <w:rFonts w:eastAsiaTheme="minorEastAsia"/>
                <w:color w:val="FF0000"/>
              </w:rPr>
              <w:t>*</w:t>
            </w:r>
          </w:p>
        </w:tc>
        <w:tc>
          <w:tcPr>
            <w:tcW w:w="2583" w:type="dxa"/>
            <w:gridSpan w:val="2"/>
          </w:tcPr>
          <w:p w:rsidR="005E42AD" w:rsidRDefault="005E42AD" w:rsidP="00A402C3">
            <w:pPr>
              <w:jc w:val="center"/>
              <w:cnfStyle w:val="000000000000"/>
            </w:pPr>
            <w:r>
              <w:rPr>
                <w:rFonts w:eastAsiaTheme="minorEastAsia"/>
              </w:rPr>
              <w:t>Stranka za BiH</w:t>
            </w:r>
          </w:p>
        </w:tc>
        <w:tc>
          <w:tcPr>
            <w:tcW w:w="1879" w:type="dxa"/>
          </w:tcPr>
          <w:p w:rsidR="005E42AD" w:rsidRDefault="005E42AD" w:rsidP="00A402C3">
            <w:pPr>
              <w:jc w:val="center"/>
              <w:cnfStyle w:val="000000000000"/>
            </w:pPr>
            <w:r w:rsidRPr="009F2D7B">
              <w:rPr>
                <w:rFonts w:eastAsiaTheme="minorEastAsia"/>
              </w:rPr>
              <w:t>15.1</w:t>
            </w:r>
            <w:r>
              <w:rPr>
                <w:rFonts w:eastAsiaTheme="minorEastAsia"/>
              </w:rPr>
              <w:t>2.2020</w:t>
            </w:r>
            <w:r w:rsidRPr="009F2D7B">
              <w:rPr>
                <w:rFonts w:eastAsiaTheme="minorEastAsia"/>
              </w:rPr>
              <w:t>.</w:t>
            </w:r>
          </w:p>
        </w:tc>
        <w:tc>
          <w:tcPr>
            <w:tcW w:w="1700" w:type="dxa"/>
          </w:tcPr>
          <w:p w:rsidR="005E42AD" w:rsidRPr="002D39CB" w:rsidRDefault="005E42AD" w:rsidP="00A402C3">
            <w:pPr>
              <w:jc w:val="center"/>
              <w:cnfStyle w:val="000000000000"/>
              <w:rPr>
                <w:rFonts w:eastAsiaTheme="minorEastAsia"/>
              </w:rPr>
            </w:pPr>
            <w:r>
              <w:rPr>
                <w:rFonts w:eastAsiaTheme="minorEastAsia"/>
              </w:rPr>
              <w:t>1</w:t>
            </w:r>
          </w:p>
        </w:tc>
      </w:tr>
      <w:tr w:rsidR="005E42AD" w:rsidRPr="002D39CB" w:rsidTr="00A402C3">
        <w:trPr>
          <w:cnfStyle w:val="000000100000"/>
          <w:trHeight w:val="189"/>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2</w:t>
            </w:r>
            <w:r>
              <w:rPr>
                <w:rFonts w:eastAsiaTheme="minorEastAsia"/>
              </w:rPr>
              <w:t>5</w:t>
            </w:r>
          </w:p>
        </w:tc>
        <w:tc>
          <w:tcPr>
            <w:tcW w:w="1943" w:type="dxa"/>
          </w:tcPr>
          <w:p w:rsidR="005E42AD" w:rsidRPr="002D39CB" w:rsidRDefault="005E42AD" w:rsidP="00A402C3">
            <w:pPr>
              <w:cnfStyle w:val="000000100000"/>
              <w:rPr>
                <w:rFonts w:eastAsiaTheme="minorEastAsia"/>
              </w:rPr>
            </w:pPr>
            <w:r>
              <w:rPr>
                <w:rFonts w:eastAsiaTheme="minorEastAsia"/>
              </w:rPr>
              <w:t>Fehim Tuzlić</w:t>
            </w:r>
          </w:p>
        </w:tc>
        <w:tc>
          <w:tcPr>
            <w:tcW w:w="2583" w:type="dxa"/>
            <w:gridSpan w:val="2"/>
          </w:tcPr>
          <w:p w:rsidR="005E42AD" w:rsidRPr="002D39CB" w:rsidRDefault="005E42AD" w:rsidP="00A402C3">
            <w:pPr>
              <w:jc w:val="center"/>
              <w:cnfStyle w:val="000000100000"/>
              <w:rPr>
                <w:rFonts w:eastAsiaTheme="minorEastAsia"/>
              </w:rPr>
            </w:pPr>
            <w:r>
              <w:rPr>
                <w:rFonts w:eastAsiaTheme="minorEastAsia"/>
              </w:rPr>
              <w:t>Stranka za BiH</w:t>
            </w:r>
          </w:p>
        </w:tc>
        <w:tc>
          <w:tcPr>
            <w:tcW w:w="1879" w:type="dxa"/>
          </w:tcPr>
          <w:p w:rsidR="005E42AD" w:rsidRDefault="005E42AD" w:rsidP="00A402C3">
            <w:pPr>
              <w:jc w:val="center"/>
              <w:cnfStyle w:val="000000100000"/>
            </w:pPr>
            <w:r w:rsidRPr="009F2D7B">
              <w:rPr>
                <w:rFonts w:eastAsiaTheme="minorEastAsia"/>
              </w:rPr>
              <w:t>15.1</w:t>
            </w:r>
            <w:r>
              <w:rPr>
                <w:rFonts w:eastAsiaTheme="minorEastAsia"/>
              </w:rPr>
              <w:t>2.2020</w:t>
            </w:r>
            <w:r w:rsidRPr="009F2D7B">
              <w:rPr>
                <w:rFonts w:eastAsiaTheme="minorEastAsia"/>
              </w:rPr>
              <w:t>.</w:t>
            </w:r>
          </w:p>
        </w:tc>
        <w:tc>
          <w:tcPr>
            <w:tcW w:w="1700" w:type="dxa"/>
          </w:tcPr>
          <w:p w:rsidR="005E42AD" w:rsidRPr="002D39CB" w:rsidRDefault="005E42AD" w:rsidP="00A402C3">
            <w:pPr>
              <w:jc w:val="center"/>
              <w:cnfStyle w:val="000000100000"/>
              <w:rPr>
                <w:rFonts w:eastAsiaTheme="minorEastAsia"/>
              </w:rPr>
            </w:pPr>
            <w:r>
              <w:rPr>
                <w:rFonts w:eastAsiaTheme="minorEastAsia"/>
              </w:rPr>
              <w:t>2</w:t>
            </w:r>
          </w:p>
        </w:tc>
      </w:tr>
      <w:tr w:rsidR="005E42AD" w:rsidRPr="002D39CB" w:rsidTr="00A402C3">
        <w:trPr>
          <w:trHeight w:val="202"/>
        </w:trPr>
        <w:tc>
          <w:tcPr>
            <w:cnfStyle w:val="001000000000"/>
            <w:tcW w:w="657" w:type="dxa"/>
          </w:tcPr>
          <w:p w:rsidR="005E42AD" w:rsidRPr="002D39CB" w:rsidRDefault="005E42AD" w:rsidP="00A402C3">
            <w:pPr>
              <w:jc w:val="center"/>
              <w:rPr>
                <w:rFonts w:eastAsiaTheme="minorEastAsia"/>
              </w:rPr>
            </w:pPr>
            <w:r w:rsidRPr="002D39CB">
              <w:rPr>
                <w:rFonts w:eastAsiaTheme="minorEastAsia"/>
              </w:rPr>
              <w:t>2</w:t>
            </w:r>
            <w:r>
              <w:rPr>
                <w:rFonts w:eastAsiaTheme="minorEastAsia"/>
              </w:rPr>
              <w:t>6</w:t>
            </w:r>
          </w:p>
        </w:tc>
        <w:tc>
          <w:tcPr>
            <w:tcW w:w="1943" w:type="dxa"/>
          </w:tcPr>
          <w:p w:rsidR="005E42AD" w:rsidRPr="002D39CB" w:rsidRDefault="005E42AD" w:rsidP="00A402C3">
            <w:pPr>
              <w:cnfStyle w:val="000000000000"/>
              <w:rPr>
                <w:rFonts w:eastAsiaTheme="minorEastAsia"/>
              </w:rPr>
            </w:pPr>
            <w:r>
              <w:rPr>
                <w:rFonts w:eastAsiaTheme="minorEastAsia"/>
              </w:rPr>
              <w:t>Zahid Avdičević</w:t>
            </w:r>
          </w:p>
        </w:tc>
        <w:tc>
          <w:tcPr>
            <w:tcW w:w="2583" w:type="dxa"/>
            <w:gridSpan w:val="2"/>
          </w:tcPr>
          <w:p w:rsidR="005E42AD" w:rsidRPr="002D39CB" w:rsidRDefault="005E42AD" w:rsidP="00A402C3">
            <w:pPr>
              <w:jc w:val="center"/>
              <w:cnfStyle w:val="000000000000"/>
              <w:rPr>
                <w:rFonts w:eastAsiaTheme="minorEastAsia"/>
              </w:rPr>
            </w:pPr>
            <w:r>
              <w:rPr>
                <w:rFonts w:eastAsiaTheme="minorEastAsia"/>
              </w:rPr>
              <w:t>GDS BiH</w:t>
            </w:r>
          </w:p>
        </w:tc>
        <w:tc>
          <w:tcPr>
            <w:tcW w:w="1879" w:type="dxa"/>
          </w:tcPr>
          <w:p w:rsidR="005E42AD" w:rsidRDefault="005E42AD" w:rsidP="00A402C3">
            <w:pPr>
              <w:jc w:val="center"/>
              <w:cnfStyle w:val="000000000000"/>
            </w:pPr>
            <w:r w:rsidRPr="009F2D7B">
              <w:rPr>
                <w:rFonts w:eastAsiaTheme="minorEastAsia"/>
              </w:rPr>
              <w:t>15.1</w:t>
            </w:r>
            <w:r>
              <w:rPr>
                <w:rFonts w:eastAsiaTheme="minorEastAsia"/>
              </w:rPr>
              <w:t>2.2020</w:t>
            </w:r>
            <w:r w:rsidRPr="009F2D7B">
              <w:rPr>
                <w:rFonts w:eastAsiaTheme="minorEastAsia"/>
              </w:rPr>
              <w:t>.</w:t>
            </w:r>
          </w:p>
        </w:tc>
        <w:tc>
          <w:tcPr>
            <w:tcW w:w="1700" w:type="dxa"/>
          </w:tcPr>
          <w:p w:rsidR="005E42AD" w:rsidRPr="002D39CB" w:rsidRDefault="005E42AD" w:rsidP="00A402C3">
            <w:pPr>
              <w:jc w:val="center"/>
              <w:cnfStyle w:val="000000000000"/>
              <w:rPr>
                <w:rFonts w:eastAsiaTheme="minorEastAsia"/>
              </w:rPr>
            </w:pPr>
            <w:r>
              <w:rPr>
                <w:rFonts w:eastAsiaTheme="minorEastAsia"/>
              </w:rPr>
              <w:t>3</w:t>
            </w:r>
          </w:p>
        </w:tc>
      </w:tr>
      <w:tr w:rsidR="005E42AD" w:rsidRPr="002D39CB" w:rsidTr="00A402C3">
        <w:trPr>
          <w:cnfStyle w:val="000000100000"/>
          <w:trHeight w:val="189"/>
        </w:trPr>
        <w:tc>
          <w:tcPr>
            <w:cnfStyle w:val="001000000000"/>
            <w:tcW w:w="657" w:type="dxa"/>
          </w:tcPr>
          <w:p w:rsidR="005E42AD" w:rsidRPr="002D39CB" w:rsidRDefault="005E42AD" w:rsidP="00A402C3">
            <w:pPr>
              <w:jc w:val="center"/>
              <w:rPr>
                <w:rFonts w:eastAsiaTheme="minorEastAsia"/>
              </w:rPr>
            </w:pPr>
            <w:r>
              <w:rPr>
                <w:rFonts w:eastAsiaTheme="minorEastAsia"/>
              </w:rPr>
              <w:t>27</w:t>
            </w:r>
          </w:p>
        </w:tc>
        <w:tc>
          <w:tcPr>
            <w:tcW w:w="1943" w:type="dxa"/>
          </w:tcPr>
          <w:p w:rsidR="005E42AD" w:rsidRDefault="005E42AD" w:rsidP="00A402C3">
            <w:pPr>
              <w:cnfStyle w:val="000000100000"/>
              <w:rPr>
                <w:rFonts w:eastAsiaTheme="minorEastAsia"/>
              </w:rPr>
            </w:pPr>
            <w:r>
              <w:rPr>
                <w:rFonts w:eastAsiaTheme="minorEastAsia"/>
              </w:rPr>
              <w:t>Admir Mujkić</w:t>
            </w:r>
            <w:r w:rsidR="00940C1A" w:rsidRPr="00940C1A">
              <w:rPr>
                <w:rFonts w:eastAsiaTheme="minorEastAsia"/>
                <w:color w:val="FF0000"/>
              </w:rPr>
              <w:t>*</w:t>
            </w:r>
          </w:p>
        </w:tc>
        <w:tc>
          <w:tcPr>
            <w:tcW w:w="2583" w:type="dxa"/>
            <w:gridSpan w:val="2"/>
          </w:tcPr>
          <w:p w:rsidR="005E42AD" w:rsidRDefault="005E42AD" w:rsidP="00A402C3">
            <w:pPr>
              <w:jc w:val="center"/>
              <w:cnfStyle w:val="000000100000"/>
              <w:rPr>
                <w:rFonts w:eastAsiaTheme="minorEastAsia"/>
              </w:rPr>
            </w:pPr>
            <w:r>
              <w:rPr>
                <w:rFonts w:eastAsiaTheme="minorEastAsia"/>
              </w:rPr>
              <w:t>GDS BiH</w:t>
            </w:r>
          </w:p>
        </w:tc>
        <w:tc>
          <w:tcPr>
            <w:tcW w:w="1879" w:type="dxa"/>
          </w:tcPr>
          <w:p w:rsidR="005E42AD" w:rsidRPr="009F2D7B" w:rsidRDefault="005E42AD" w:rsidP="00A402C3">
            <w:pPr>
              <w:jc w:val="center"/>
              <w:cnfStyle w:val="000000100000"/>
              <w:rPr>
                <w:rFonts w:eastAsiaTheme="minorEastAsia"/>
              </w:rPr>
            </w:pPr>
            <w:r>
              <w:rPr>
                <w:rFonts w:eastAsiaTheme="minorEastAsia"/>
              </w:rPr>
              <w:t>15.12.2020.</w:t>
            </w:r>
          </w:p>
        </w:tc>
        <w:tc>
          <w:tcPr>
            <w:tcW w:w="1700" w:type="dxa"/>
          </w:tcPr>
          <w:p w:rsidR="005E42AD" w:rsidRDefault="005E42AD" w:rsidP="00A402C3">
            <w:pPr>
              <w:jc w:val="center"/>
              <w:cnfStyle w:val="000000100000"/>
              <w:rPr>
                <w:rFonts w:eastAsiaTheme="minorEastAsia"/>
              </w:rPr>
            </w:pPr>
            <w:r>
              <w:rPr>
                <w:rFonts w:eastAsiaTheme="minorEastAsia"/>
              </w:rPr>
              <w:t>1</w:t>
            </w:r>
          </w:p>
        </w:tc>
      </w:tr>
      <w:tr w:rsidR="005E42AD" w:rsidRPr="002D39CB" w:rsidTr="00A402C3">
        <w:trPr>
          <w:trHeight w:val="202"/>
        </w:trPr>
        <w:tc>
          <w:tcPr>
            <w:cnfStyle w:val="001000000000"/>
            <w:tcW w:w="657" w:type="dxa"/>
          </w:tcPr>
          <w:p w:rsidR="005E42AD" w:rsidRPr="002D39CB" w:rsidRDefault="005E42AD" w:rsidP="00A402C3">
            <w:pPr>
              <w:jc w:val="center"/>
              <w:rPr>
                <w:rFonts w:eastAsiaTheme="minorEastAsia"/>
              </w:rPr>
            </w:pPr>
            <w:r>
              <w:rPr>
                <w:rFonts w:eastAsiaTheme="minorEastAsia"/>
              </w:rPr>
              <w:t>28</w:t>
            </w:r>
          </w:p>
        </w:tc>
        <w:tc>
          <w:tcPr>
            <w:tcW w:w="1943" w:type="dxa"/>
          </w:tcPr>
          <w:p w:rsidR="005E42AD" w:rsidRDefault="005E42AD" w:rsidP="00A402C3">
            <w:pPr>
              <w:cnfStyle w:val="000000000000"/>
              <w:rPr>
                <w:rFonts w:eastAsiaTheme="minorEastAsia"/>
              </w:rPr>
            </w:pPr>
            <w:r>
              <w:rPr>
                <w:rFonts w:eastAsiaTheme="minorEastAsia"/>
              </w:rPr>
              <w:t>Mirsad Bečić</w:t>
            </w:r>
          </w:p>
        </w:tc>
        <w:tc>
          <w:tcPr>
            <w:tcW w:w="2583" w:type="dxa"/>
            <w:gridSpan w:val="2"/>
          </w:tcPr>
          <w:p w:rsidR="005E42AD" w:rsidRDefault="005E42AD" w:rsidP="00A402C3">
            <w:pPr>
              <w:jc w:val="center"/>
              <w:cnfStyle w:val="000000000000"/>
              <w:rPr>
                <w:rFonts w:eastAsiaTheme="minorEastAsia"/>
              </w:rPr>
            </w:pPr>
            <w:r>
              <w:rPr>
                <w:rFonts w:eastAsiaTheme="minorEastAsia"/>
              </w:rPr>
              <w:t>PDA</w:t>
            </w:r>
          </w:p>
        </w:tc>
        <w:tc>
          <w:tcPr>
            <w:tcW w:w="1879" w:type="dxa"/>
          </w:tcPr>
          <w:p w:rsidR="005E42AD" w:rsidRPr="009F2D7B" w:rsidRDefault="005E42AD" w:rsidP="00A402C3">
            <w:pPr>
              <w:jc w:val="center"/>
              <w:cnfStyle w:val="000000000000"/>
              <w:rPr>
                <w:rFonts w:eastAsiaTheme="minorEastAsia"/>
              </w:rPr>
            </w:pPr>
            <w:r>
              <w:rPr>
                <w:rFonts w:eastAsiaTheme="minorEastAsia"/>
              </w:rPr>
              <w:t>15.12.2020.</w:t>
            </w:r>
          </w:p>
        </w:tc>
        <w:tc>
          <w:tcPr>
            <w:tcW w:w="1700" w:type="dxa"/>
          </w:tcPr>
          <w:p w:rsidR="005E42AD" w:rsidRDefault="005E42AD" w:rsidP="00A402C3">
            <w:pPr>
              <w:jc w:val="center"/>
              <w:cnfStyle w:val="000000000000"/>
              <w:rPr>
                <w:rFonts w:eastAsiaTheme="minorEastAsia"/>
              </w:rPr>
            </w:pPr>
            <w:r>
              <w:rPr>
                <w:rFonts w:eastAsiaTheme="minorEastAsia"/>
              </w:rPr>
              <w:t>1</w:t>
            </w:r>
          </w:p>
        </w:tc>
      </w:tr>
      <w:tr w:rsidR="005E42AD" w:rsidRPr="002D39CB" w:rsidTr="00A402C3">
        <w:trPr>
          <w:cnfStyle w:val="000000100000"/>
          <w:trHeight w:val="484"/>
        </w:trPr>
        <w:tc>
          <w:tcPr>
            <w:cnfStyle w:val="001000000000"/>
            <w:tcW w:w="657" w:type="dxa"/>
          </w:tcPr>
          <w:p w:rsidR="005E42AD" w:rsidRPr="002D39CB" w:rsidRDefault="005E42AD" w:rsidP="00A402C3">
            <w:pPr>
              <w:jc w:val="center"/>
              <w:rPr>
                <w:rFonts w:eastAsiaTheme="minorEastAsia"/>
              </w:rPr>
            </w:pPr>
            <w:r>
              <w:rPr>
                <w:rFonts w:eastAsiaTheme="minorEastAsia"/>
              </w:rPr>
              <w:t>29</w:t>
            </w:r>
          </w:p>
        </w:tc>
        <w:tc>
          <w:tcPr>
            <w:tcW w:w="1943" w:type="dxa"/>
          </w:tcPr>
          <w:p w:rsidR="005E42AD" w:rsidRDefault="005E42AD" w:rsidP="00A402C3">
            <w:pPr>
              <w:cnfStyle w:val="000000100000"/>
              <w:rPr>
                <w:rFonts w:eastAsiaTheme="minorEastAsia"/>
              </w:rPr>
            </w:pPr>
            <w:r>
              <w:rPr>
                <w:rFonts w:eastAsiaTheme="minorEastAsia"/>
              </w:rPr>
              <w:t>Asim Sinanović</w:t>
            </w:r>
          </w:p>
        </w:tc>
        <w:tc>
          <w:tcPr>
            <w:tcW w:w="2583" w:type="dxa"/>
            <w:gridSpan w:val="2"/>
          </w:tcPr>
          <w:p w:rsidR="005E42AD" w:rsidRDefault="005E42AD" w:rsidP="00A402C3">
            <w:pPr>
              <w:jc w:val="center"/>
              <w:cnfStyle w:val="000000100000"/>
              <w:rPr>
                <w:rFonts w:eastAsiaTheme="minorEastAsia"/>
              </w:rPr>
            </w:pPr>
            <w:r>
              <w:rPr>
                <w:rFonts w:eastAsiaTheme="minorEastAsia"/>
              </w:rPr>
              <w:t>Stranka penzionera/umirovljenika BiH</w:t>
            </w:r>
          </w:p>
        </w:tc>
        <w:tc>
          <w:tcPr>
            <w:tcW w:w="1879" w:type="dxa"/>
          </w:tcPr>
          <w:p w:rsidR="005E42AD" w:rsidRPr="009F2D7B" w:rsidRDefault="005E42AD" w:rsidP="00A402C3">
            <w:pPr>
              <w:jc w:val="center"/>
              <w:cnfStyle w:val="000000100000"/>
              <w:rPr>
                <w:rFonts w:eastAsiaTheme="minorEastAsia"/>
              </w:rPr>
            </w:pPr>
            <w:r>
              <w:rPr>
                <w:rFonts w:eastAsiaTheme="minorEastAsia"/>
              </w:rPr>
              <w:t>15.12.2020.</w:t>
            </w:r>
          </w:p>
        </w:tc>
        <w:tc>
          <w:tcPr>
            <w:tcW w:w="1700" w:type="dxa"/>
          </w:tcPr>
          <w:p w:rsidR="005E42AD" w:rsidRDefault="005E42AD" w:rsidP="00A402C3">
            <w:pPr>
              <w:jc w:val="center"/>
              <w:cnfStyle w:val="000000100000"/>
              <w:rPr>
                <w:rFonts w:eastAsiaTheme="minorEastAsia"/>
              </w:rPr>
            </w:pPr>
            <w:r>
              <w:rPr>
                <w:rFonts w:eastAsiaTheme="minorEastAsia"/>
              </w:rPr>
              <w:t>2?</w:t>
            </w:r>
          </w:p>
        </w:tc>
      </w:tr>
    </w:tbl>
    <w:p w:rsidR="005E42AD" w:rsidRDefault="005E42AD" w:rsidP="005E42AD">
      <w:pPr>
        <w:spacing w:before="120" w:after="360"/>
        <w:jc w:val="center"/>
        <w:rPr>
          <w:rFonts w:ascii="Arial" w:hAnsi="Arial" w:cs="Arial"/>
          <w:b/>
          <w:sz w:val="18"/>
          <w:szCs w:val="18"/>
        </w:rPr>
      </w:pPr>
      <w:r>
        <w:rPr>
          <w:rFonts w:ascii="Arial" w:hAnsi="Arial" w:cs="Arial"/>
          <w:b/>
          <w:sz w:val="18"/>
          <w:szCs w:val="18"/>
        </w:rPr>
        <w:t>Tabela 1: Sastav Općinskog vijeća Zavidovići</w:t>
      </w:r>
    </w:p>
    <w:p w:rsidR="00940C1A" w:rsidRDefault="00940C1A" w:rsidP="00940C1A">
      <w:pPr>
        <w:spacing w:before="120" w:after="360"/>
        <w:rPr>
          <w:rFonts w:ascii="Arial" w:hAnsi="Arial" w:cs="Arial"/>
          <w:b/>
          <w:sz w:val="18"/>
          <w:szCs w:val="18"/>
        </w:rPr>
      </w:pPr>
      <w:r w:rsidRPr="00940C1A">
        <w:rPr>
          <w:rFonts w:eastAsiaTheme="minorEastAsia"/>
          <w:color w:val="FF0000"/>
        </w:rPr>
        <w:t>*</w:t>
      </w:r>
      <w:r>
        <w:rPr>
          <w:rFonts w:eastAsiaTheme="minorEastAsia"/>
          <w:color w:val="FF0000"/>
        </w:rPr>
        <w:t>Vijećnici koji su sredinom juna napustili svoje Klubove i postali samostalni vijećnici</w:t>
      </w:r>
    </w:p>
    <w:p w:rsidR="005E42AD" w:rsidRDefault="005E42AD" w:rsidP="005E42AD">
      <w:pPr>
        <w:jc w:val="both"/>
      </w:pPr>
      <w:r>
        <w:t>Od 29 vijećnika/ca Općinskog vijeća Zavidovići 2 su žene ili 6,9 %.</w:t>
      </w:r>
    </w:p>
    <w:p w:rsidR="005E42AD" w:rsidRDefault="005E42AD" w:rsidP="005E42AD">
      <w:pPr>
        <w:jc w:val="both"/>
      </w:pPr>
    </w:p>
    <w:p w:rsidR="005E42AD" w:rsidRPr="009223AE" w:rsidRDefault="005E42AD" w:rsidP="005E42AD">
      <w:pPr>
        <w:jc w:val="both"/>
      </w:pPr>
    </w:p>
    <w:p w:rsidR="00867A67" w:rsidRDefault="009C7283">
      <w:r>
        <w:rPr>
          <w:noProof/>
          <w:lang w:val="hr-BA" w:eastAsia="hr-BA"/>
        </w:rPr>
        <w:drawing>
          <wp:inline distT="0" distB="0" distL="0" distR="0">
            <wp:extent cx="5486400" cy="3200400"/>
            <wp:effectExtent l="19050" t="0" r="19050" b="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C7283" w:rsidRDefault="009C7283" w:rsidP="00DB3D9B">
      <w:pPr>
        <w:jc w:val="center"/>
      </w:pPr>
      <w:r>
        <w:t xml:space="preserve">Grafikon 2: </w:t>
      </w:r>
      <w:r w:rsidR="00DB3D9B">
        <w:t>Spolna struktura OV Zavidovići</w:t>
      </w:r>
    </w:p>
    <w:p w:rsidR="00DB3D9B" w:rsidRPr="000C3374" w:rsidRDefault="00DB3D9B" w:rsidP="00DB3D9B">
      <w:pPr>
        <w:pStyle w:val="Naslov1"/>
        <w:shd w:val="clear" w:color="auto" w:fill="0F243E"/>
        <w:spacing w:before="0" w:line="240" w:lineRule="auto"/>
        <w:jc w:val="right"/>
        <w:rPr>
          <w:rFonts w:ascii="Arial" w:hAnsi="Arial" w:cs="Arial"/>
          <w:color w:val="FFFFFF"/>
          <w:sz w:val="24"/>
          <w:szCs w:val="24"/>
        </w:rPr>
      </w:pPr>
      <w:bookmarkStart w:id="1" w:name="_Toc473111598"/>
      <w:r w:rsidRPr="00935222">
        <w:rPr>
          <w:rFonts w:ascii="Arial" w:hAnsi="Arial" w:cs="Arial"/>
          <w:color w:val="FFFFFF"/>
          <w:sz w:val="24"/>
          <w:szCs w:val="24"/>
        </w:rPr>
        <w:t xml:space="preserve">OSNOVNE INFORMACIJE O RADU </w:t>
      </w:r>
      <w:r>
        <w:rPr>
          <w:rFonts w:ascii="Arial" w:hAnsi="Arial" w:cs="Arial"/>
          <w:color w:val="FFFFFF"/>
          <w:sz w:val="24"/>
          <w:szCs w:val="24"/>
        </w:rPr>
        <w:t>OPĆINSKOG VIJEĆA</w:t>
      </w:r>
      <w:r w:rsidRPr="00935222">
        <w:rPr>
          <w:rFonts w:ascii="Arial" w:hAnsi="Arial" w:cs="Arial"/>
          <w:color w:val="FFFFFF"/>
          <w:sz w:val="24"/>
          <w:szCs w:val="24"/>
        </w:rPr>
        <w:t xml:space="preserve"> – dinamika rada</w:t>
      </w:r>
      <w:bookmarkEnd w:id="1"/>
      <w:r w:rsidRPr="00935222">
        <w:rPr>
          <w:rFonts w:ascii="Arial" w:hAnsi="Arial" w:cs="Arial"/>
          <w:color w:val="FFFFFF"/>
          <w:sz w:val="24"/>
          <w:szCs w:val="24"/>
        </w:rPr>
        <w:tab/>
      </w:r>
    </w:p>
    <w:p w:rsidR="00DB3D9B" w:rsidRPr="00450673" w:rsidRDefault="00DB3D9B" w:rsidP="00DB3D9B">
      <w:pPr>
        <w:rPr>
          <w:b/>
        </w:rPr>
      </w:pPr>
    </w:p>
    <w:p w:rsidR="00DB3D9B" w:rsidRPr="00373AC3" w:rsidRDefault="00DB3D9B" w:rsidP="00DB3D9B">
      <w:r w:rsidRPr="00373AC3">
        <w:t xml:space="preserve">Od 1.1. do 30.6. 2021. godine Općinsko vijeće Zavidovići održalo održalo je </w:t>
      </w:r>
      <w:r w:rsidR="00CE1A26">
        <w:t xml:space="preserve">sedam </w:t>
      </w:r>
      <w:r w:rsidRPr="00373AC3">
        <w:t xml:space="preserve"> sjednica</w:t>
      </w:r>
      <w:r w:rsidR="00373AC3" w:rsidRPr="00373AC3">
        <w:t xml:space="preserve">, jednu konstituirajuću i </w:t>
      </w:r>
      <w:r w:rsidR="00CE1A26">
        <w:t>šest</w:t>
      </w:r>
      <w:r w:rsidR="00373AC3" w:rsidRPr="00373AC3">
        <w:t xml:space="preserve"> redovnih sjednica.</w:t>
      </w:r>
      <w:r w:rsidR="00373AC3">
        <w:t xml:space="preserve"> (Grafikon 3)</w:t>
      </w:r>
    </w:p>
    <w:p w:rsidR="00DB3D9B" w:rsidRPr="00373AC3" w:rsidRDefault="00CE1A26" w:rsidP="00DB3D9B">
      <w:r>
        <w:t>Konstituirajuća sjednica je održana 30.12.2020.</w:t>
      </w:r>
    </w:p>
    <w:p w:rsidR="00DB3D9B" w:rsidRDefault="00DB3D9B" w:rsidP="00DB3D9B"/>
    <w:p w:rsidR="00DB3D9B" w:rsidRDefault="00DB3D9B" w:rsidP="00DB3D9B">
      <w:r>
        <w:rPr>
          <w:noProof/>
          <w:lang w:val="hr-BA" w:eastAsia="hr-BA"/>
        </w:rPr>
        <w:drawing>
          <wp:anchor distT="0" distB="0" distL="114300" distR="114300" simplePos="0" relativeHeight="251657216" behindDoc="1" locked="0" layoutInCell="1" allowOverlap="1">
            <wp:simplePos x="0" y="0"/>
            <wp:positionH relativeFrom="column">
              <wp:posOffset>0</wp:posOffset>
            </wp:positionH>
            <wp:positionV relativeFrom="paragraph">
              <wp:posOffset>0</wp:posOffset>
            </wp:positionV>
            <wp:extent cx="5486400" cy="3200400"/>
            <wp:effectExtent l="19050" t="0" r="19050" b="0"/>
            <wp:wrapNone/>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DB3D9B" w:rsidRPr="00612DC6" w:rsidRDefault="00DB3D9B" w:rsidP="00DB3D9B"/>
    <w:p w:rsidR="00DB3D9B" w:rsidRPr="00612DC6" w:rsidRDefault="00DB3D9B" w:rsidP="00DB3D9B">
      <w:pPr>
        <w:tabs>
          <w:tab w:val="left" w:pos="2055"/>
        </w:tabs>
      </w:pPr>
      <w:r>
        <w:tab/>
      </w:r>
    </w:p>
    <w:p w:rsidR="00DB3D9B" w:rsidRPr="00612DC6" w:rsidRDefault="00DB3D9B" w:rsidP="00DB3D9B"/>
    <w:p w:rsidR="00DB3D9B" w:rsidRPr="00612DC6" w:rsidRDefault="00DB3D9B" w:rsidP="00DB3D9B"/>
    <w:p w:rsidR="00DB3D9B" w:rsidRPr="00612DC6" w:rsidRDefault="00DB3D9B" w:rsidP="00DB3D9B"/>
    <w:p w:rsidR="00DB3D9B" w:rsidRPr="00612DC6" w:rsidRDefault="00DB3D9B" w:rsidP="00DB3D9B"/>
    <w:p w:rsidR="00DB3D9B" w:rsidRPr="00612DC6" w:rsidRDefault="00DB3D9B" w:rsidP="00DB3D9B"/>
    <w:p w:rsidR="00DB3D9B" w:rsidRPr="00612DC6" w:rsidRDefault="00DB3D9B" w:rsidP="00DB3D9B"/>
    <w:p w:rsidR="00DB3D9B" w:rsidRDefault="00DB3D9B" w:rsidP="00DB3D9B"/>
    <w:p w:rsidR="00DB3D9B" w:rsidRPr="009223AE" w:rsidRDefault="00DB3D9B" w:rsidP="00DB3D9B">
      <w:pPr>
        <w:tabs>
          <w:tab w:val="left" w:pos="5430"/>
        </w:tabs>
      </w:pPr>
      <w:r w:rsidRPr="009223AE">
        <w:tab/>
      </w:r>
    </w:p>
    <w:p w:rsidR="00DB3D9B" w:rsidRDefault="00DB3D9B" w:rsidP="00DB3D9B">
      <w:pPr>
        <w:jc w:val="right"/>
      </w:pPr>
    </w:p>
    <w:p w:rsidR="00DB3D9B" w:rsidRPr="009223AE" w:rsidRDefault="00DB3D9B" w:rsidP="00DB3D9B">
      <w:pPr>
        <w:jc w:val="center"/>
        <w:rPr>
          <w:b/>
          <w:sz w:val="18"/>
          <w:szCs w:val="18"/>
        </w:rPr>
      </w:pPr>
      <w:r>
        <w:rPr>
          <w:b/>
          <w:sz w:val="18"/>
          <w:szCs w:val="18"/>
        </w:rPr>
        <w:t>Grafikon 3</w:t>
      </w:r>
    </w:p>
    <w:p w:rsidR="00DB3D9B" w:rsidRPr="00130023" w:rsidRDefault="00DB3D9B" w:rsidP="00DB3D9B">
      <w:pPr>
        <w:jc w:val="both"/>
      </w:pPr>
      <w:r w:rsidRPr="00130023">
        <w:t>Sjednice su održavane u prosjeku jednom mjesečno</w:t>
      </w:r>
      <w:r w:rsidR="00E1433B">
        <w:t>, ali zbog pandemije u martu i aprilu nije bilo sjednica OV.</w:t>
      </w:r>
    </w:p>
    <w:p w:rsidR="00DB3D9B" w:rsidRDefault="00DB3D9B" w:rsidP="00DB3D9B">
      <w:pPr>
        <w:jc w:val="both"/>
      </w:pPr>
      <w:r>
        <w:t>U promatranom razdoblju Općinsko vijeće Zavidovića</w:t>
      </w:r>
      <w:r w:rsidRPr="002B3A42">
        <w:t xml:space="preserve"> je zasjedalo ukupno </w:t>
      </w:r>
      <w:r w:rsidR="00130023">
        <w:t>43</w:t>
      </w:r>
      <w:r w:rsidR="00A402C3">
        <w:t xml:space="preserve"> </w:t>
      </w:r>
      <w:r w:rsidRPr="002B3A42">
        <w:t>sati i</w:t>
      </w:r>
      <w:r w:rsidR="00130023">
        <w:t xml:space="preserve"> 50</w:t>
      </w:r>
      <w:r w:rsidRPr="002B3A42">
        <w:t xml:space="preserve"> minuta što u projeku predstavlja </w:t>
      </w:r>
      <w:r w:rsidR="00130023">
        <w:t>nešto više od 6</w:t>
      </w:r>
      <w:r w:rsidRPr="002B3A42">
        <w:t xml:space="preserve"> sat</w:t>
      </w:r>
      <w:r w:rsidR="00130023">
        <w:t xml:space="preserve">i </w:t>
      </w:r>
      <w:r w:rsidRPr="002B3A42">
        <w:t xml:space="preserve"> po održanoj sjednici.</w:t>
      </w:r>
      <w:r>
        <w:t xml:space="preserve"> </w:t>
      </w:r>
      <w:r w:rsidRPr="00E1433B">
        <w:t xml:space="preserve">Sjednice su održavane u kontinuitetu, </w:t>
      </w:r>
      <w:r w:rsidR="00E1433B" w:rsidRPr="00E1433B">
        <w:t xml:space="preserve">sa pauzama tokom </w:t>
      </w:r>
      <w:r w:rsidRPr="00E1433B">
        <w:t xml:space="preserve"> zasjedanja. Najkraće vremena vijećnici su se zadržali na</w:t>
      </w:r>
      <w:r w:rsidR="00130023" w:rsidRPr="00E1433B">
        <w:t xml:space="preserve"> konstituirajućoj </w:t>
      </w:r>
      <w:r w:rsidRPr="00E1433B">
        <w:t>sjednici.</w:t>
      </w:r>
      <w:r>
        <w:t xml:space="preserve"> </w:t>
      </w:r>
    </w:p>
    <w:tbl>
      <w:tblPr>
        <w:tblStyle w:val="GridTable4Accent1"/>
        <w:tblW w:w="0" w:type="auto"/>
        <w:tblLayout w:type="fixed"/>
        <w:tblLook w:val="04A0"/>
      </w:tblPr>
      <w:tblGrid>
        <w:gridCol w:w="1384"/>
        <w:gridCol w:w="738"/>
        <w:gridCol w:w="1701"/>
        <w:gridCol w:w="850"/>
        <w:gridCol w:w="1173"/>
        <w:gridCol w:w="1035"/>
        <w:gridCol w:w="1024"/>
        <w:gridCol w:w="1157"/>
      </w:tblGrid>
      <w:tr w:rsidR="00373AC3" w:rsidTr="00CE1A26">
        <w:trPr>
          <w:cnfStyle w:val="100000000000"/>
        </w:trPr>
        <w:tc>
          <w:tcPr>
            <w:cnfStyle w:val="001000000000"/>
            <w:tcW w:w="1384" w:type="dxa"/>
          </w:tcPr>
          <w:p w:rsidR="00373AC3" w:rsidRDefault="00373AC3" w:rsidP="00A402C3">
            <w:pPr>
              <w:jc w:val="center"/>
            </w:pPr>
          </w:p>
          <w:p w:rsidR="00373AC3" w:rsidRDefault="00373AC3" w:rsidP="00A402C3">
            <w:pPr>
              <w:jc w:val="center"/>
            </w:pPr>
          </w:p>
          <w:p w:rsidR="00373AC3" w:rsidRDefault="00373AC3" w:rsidP="00A402C3">
            <w:pPr>
              <w:jc w:val="center"/>
            </w:pPr>
          </w:p>
          <w:p w:rsidR="00373AC3" w:rsidRDefault="00373AC3" w:rsidP="00A402C3">
            <w:pPr>
              <w:jc w:val="center"/>
            </w:pPr>
            <w:r>
              <w:t>Datum</w:t>
            </w:r>
          </w:p>
        </w:tc>
        <w:tc>
          <w:tcPr>
            <w:tcW w:w="738" w:type="dxa"/>
          </w:tcPr>
          <w:p w:rsidR="00373AC3" w:rsidRDefault="00373AC3" w:rsidP="00A402C3">
            <w:pPr>
              <w:jc w:val="center"/>
              <w:cnfStyle w:val="100000000000"/>
            </w:pPr>
          </w:p>
          <w:p w:rsidR="00373AC3" w:rsidRDefault="00373AC3" w:rsidP="00A402C3">
            <w:pPr>
              <w:jc w:val="center"/>
              <w:cnfStyle w:val="100000000000"/>
            </w:pPr>
            <w:r>
              <w:t>Redni broj sjednice</w:t>
            </w:r>
          </w:p>
        </w:tc>
        <w:tc>
          <w:tcPr>
            <w:tcW w:w="1701" w:type="dxa"/>
          </w:tcPr>
          <w:p w:rsidR="00373AC3" w:rsidRDefault="00373AC3" w:rsidP="00A402C3">
            <w:pPr>
              <w:jc w:val="center"/>
              <w:cnfStyle w:val="100000000000"/>
            </w:pPr>
          </w:p>
          <w:p w:rsidR="00373AC3" w:rsidRDefault="00373AC3" w:rsidP="00A402C3">
            <w:pPr>
              <w:jc w:val="center"/>
              <w:cnfStyle w:val="100000000000"/>
            </w:pPr>
          </w:p>
          <w:p w:rsidR="00373AC3" w:rsidRDefault="00373AC3" w:rsidP="00A402C3">
            <w:pPr>
              <w:jc w:val="center"/>
              <w:cnfStyle w:val="100000000000"/>
            </w:pPr>
          </w:p>
          <w:p w:rsidR="00373AC3" w:rsidRDefault="00373AC3" w:rsidP="00A402C3">
            <w:pPr>
              <w:jc w:val="center"/>
              <w:cnfStyle w:val="100000000000"/>
            </w:pPr>
            <w:r>
              <w:t>Tip sjednice</w:t>
            </w:r>
          </w:p>
        </w:tc>
        <w:tc>
          <w:tcPr>
            <w:tcW w:w="850" w:type="dxa"/>
          </w:tcPr>
          <w:p w:rsidR="00373AC3" w:rsidRDefault="00373AC3" w:rsidP="00A402C3">
            <w:pPr>
              <w:jc w:val="center"/>
              <w:cnfStyle w:val="100000000000"/>
            </w:pPr>
          </w:p>
          <w:p w:rsidR="00373AC3" w:rsidRDefault="00373AC3" w:rsidP="00A402C3">
            <w:pPr>
              <w:jc w:val="center"/>
              <w:cnfStyle w:val="100000000000"/>
            </w:pPr>
          </w:p>
          <w:p w:rsidR="00373AC3" w:rsidRDefault="00373AC3" w:rsidP="00A402C3">
            <w:pPr>
              <w:jc w:val="center"/>
              <w:cnfStyle w:val="100000000000"/>
            </w:pPr>
            <w:r>
              <w:t>Plan. točaka</w:t>
            </w:r>
          </w:p>
        </w:tc>
        <w:tc>
          <w:tcPr>
            <w:tcW w:w="1173" w:type="dxa"/>
          </w:tcPr>
          <w:p w:rsidR="00373AC3" w:rsidRDefault="00373AC3" w:rsidP="00A402C3">
            <w:pPr>
              <w:jc w:val="center"/>
              <w:cnfStyle w:val="100000000000"/>
            </w:pPr>
          </w:p>
          <w:p w:rsidR="00373AC3" w:rsidRDefault="00373AC3" w:rsidP="00A402C3">
            <w:pPr>
              <w:jc w:val="center"/>
              <w:cnfStyle w:val="100000000000"/>
            </w:pPr>
          </w:p>
          <w:p w:rsidR="00373AC3" w:rsidRDefault="00373AC3" w:rsidP="00A402C3">
            <w:pPr>
              <w:jc w:val="center"/>
              <w:cnfStyle w:val="100000000000"/>
            </w:pPr>
            <w:r>
              <w:t>Realizirano točaka</w:t>
            </w:r>
          </w:p>
        </w:tc>
        <w:tc>
          <w:tcPr>
            <w:tcW w:w="1035" w:type="dxa"/>
          </w:tcPr>
          <w:p w:rsidR="00373AC3" w:rsidRDefault="00373AC3" w:rsidP="00A402C3">
            <w:pPr>
              <w:jc w:val="center"/>
              <w:cnfStyle w:val="100000000000"/>
            </w:pPr>
          </w:p>
          <w:p w:rsidR="00373AC3" w:rsidRDefault="00373AC3" w:rsidP="00A402C3">
            <w:pPr>
              <w:jc w:val="center"/>
              <w:cnfStyle w:val="100000000000"/>
            </w:pPr>
          </w:p>
          <w:p w:rsidR="00373AC3" w:rsidRDefault="00373AC3" w:rsidP="00A402C3">
            <w:pPr>
              <w:jc w:val="center"/>
              <w:cnfStyle w:val="100000000000"/>
            </w:pPr>
            <w:r>
              <w:t>Razmatrano mjera</w:t>
            </w:r>
          </w:p>
        </w:tc>
        <w:tc>
          <w:tcPr>
            <w:tcW w:w="1024" w:type="dxa"/>
          </w:tcPr>
          <w:p w:rsidR="00373AC3" w:rsidRDefault="00373AC3" w:rsidP="00A402C3">
            <w:pPr>
              <w:jc w:val="center"/>
              <w:cnfStyle w:val="100000000000"/>
            </w:pPr>
          </w:p>
          <w:p w:rsidR="00373AC3" w:rsidRDefault="00373AC3" w:rsidP="00A402C3">
            <w:pPr>
              <w:jc w:val="center"/>
              <w:cnfStyle w:val="100000000000"/>
            </w:pPr>
          </w:p>
          <w:p w:rsidR="00373AC3" w:rsidRDefault="00373AC3" w:rsidP="00A402C3">
            <w:pPr>
              <w:jc w:val="center"/>
              <w:cnfStyle w:val="100000000000"/>
            </w:pPr>
            <w:r>
              <w:t>Usvojeno mjera</w:t>
            </w:r>
          </w:p>
        </w:tc>
        <w:tc>
          <w:tcPr>
            <w:tcW w:w="1157" w:type="dxa"/>
          </w:tcPr>
          <w:p w:rsidR="00130023" w:rsidRDefault="00130023" w:rsidP="00A402C3">
            <w:pPr>
              <w:jc w:val="center"/>
              <w:cnfStyle w:val="100000000000"/>
            </w:pPr>
          </w:p>
          <w:p w:rsidR="00130023" w:rsidRDefault="00130023" w:rsidP="00A402C3">
            <w:pPr>
              <w:jc w:val="center"/>
              <w:cnfStyle w:val="100000000000"/>
            </w:pPr>
          </w:p>
          <w:p w:rsidR="00373AC3" w:rsidRDefault="00373AC3" w:rsidP="00A402C3">
            <w:pPr>
              <w:jc w:val="center"/>
              <w:cnfStyle w:val="100000000000"/>
            </w:pPr>
            <w:r>
              <w:t>Trajanje sjednice</w:t>
            </w:r>
          </w:p>
        </w:tc>
      </w:tr>
      <w:tr w:rsidR="00373AC3" w:rsidTr="00CE1A26">
        <w:trPr>
          <w:cnfStyle w:val="000000100000"/>
        </w:trPr>
        <w:tc>
          <w:tcPr>
            <w:cnfStyle w:val="001000000000"/>
            <w:tcW w:w="1384" w:type="dxa"/>
          </w:tcPr>
          <w:p w:rsidR="00373AC3" w:rsidRDefault="00CE1A26" w:rsidP="00CE1A26">
            <w:r>
              <w:t>30</w:t>
            </w:r>
            <w:r w:rsidR="00373AC3">
              <w:t>.</w:t>
            </w:r>
            <w:r>
              <w:t>12</w:t>
            </w:r>
            <w:r w:rsidR="00373AC3">
              <w:t>.</w:t>
            </w:r>
            <w:r>
              <w:t xml:space="preserve"> 2020</w:t>
            </w:r>
          </w:p>
        </w:tc>
        <w:tc>
          <w:tcPr>
            <w:tcW w:w="738" w:type="dxa"/>
          </w:tcPr>
          <w:p w:rsidR="00373AC3" w:rsidRDefault="00CE1A26" w:rsidP="00A402C3">
            <w:pPr>
              <w:jc w:val="center"/>
              <w:cnfStyle w:val="000000100000"/>
            </w:pPr>
            <w:r>
              <w:t>0</w:t>
            </w:r>
          </w:p>
        </w:tc>
        <w:tc>
          <w:tcPr>
            <w:tcW w:w="1701" w:type="dxa"/>
          </w:tcPr>
          <w:p w:rsidR="00373AC3" w:rsidRDefault="00CE1A26" w:rsidP="00A402C3">
            <w:pPr>
              <w:jc w:val="center"/>
              <w:cnfStyle w:val="000000100000"/>
            </w:pPr>
            <w:r>
              <w:t>konstituirajuća</w:t>
            </w:r>
          </w:p>
        </w:tc>
        <w:tc>
          <w:tcPr>
            <w:tcW w:w="850" w:type="dxa"/>
          </w:tcPr>
          <w:p w:rsidR="00373AC3" w:rsidRDefault="00CE1A26" w:rsidP="00A402C3">
            <w:pPr>
              <w:jc w:val="center"/>
              <w:cnfStyle w:val="000000100000"/>
            </w:pPr>
            <w:r>
              <w:t>6</w:t>
            </w:r>
          </w:p>
        </w:tc>
        <w:tc>
          <w:tcPr>
            <w:tcW w:w="1173" w:type="dxa"/>
          </w:tcPr>
          <w:p w:rsidR="00373AC3" w:rsidRDefault="00CE1A26" w:rsidP="00A402C3">
            <w:pPr>
              <w:jc w:val="center"/>
              <w:cnfStyle w:val="000000100000"/>
            </w:pPr>
            <w:r>
              <w:t>6</w:t>
            </w:r>
          </w:p>
        </w:tc>
        <w:tc>
          <w:tcPr>
            <w:tcW w:w="1035" w:type="dxa"/>
          </w:tcPr>
          <w:p w:rsidR="00373AC3" w:rsidRDefault="00CE1A26" w:rsidP="00A402C3">
            <w:pPr>
              <w:jc w:val="center"/>
              <w:cnfStyle w:val="000000100000"/>
            </w:pPr>
            <w:r>
              <w:t>6</w:t>
            </w:r>
          </w:p>
        </w:tc>
        <w:tc>
          <w:tcPr>
            <w:tcW w:w="1024" w:type="dxa"/>
          </w:tcPr>
          <w:p w:rsidR="00373AC3" w:rsidRDefault="00CE1A26" w:rsidP="00A402C3">
            <w:pPr>
              <w:jc w:val="center"/>
              <w:cnfStyle w:val="000000100000"/>
            </w:pPr>
            <w:r>
              <w:t>6</w:t>
            </w:r>
          </w:p>
        </w:tc>
        <w:tc>
          <w:tcPr>
            <w:tcW w:w="1157" w:type="dxa"/>
          </w:tcPr>
          <w:p w:rsidR="00373AC3" w:rsidRDefault="009C048B" w:rsidP="00A402C3">
            <w:pPr>
              <w:jc w:val="center"/>
              <w:cnfStyle w:val="000000100000"/>
            </w:pPr>
            <w:r>
              <w:t>03.40</w:t>
            </w:r>
          </w:p>
        </w:tc>
      </w:tr>
      <w:tr w:rsidR="00CE1A26" w:rsidTr="00CE1A26">
        <w:tc>
          <w:tcPr>
            <w:cnfStyle w:val="001000000000"/>
            <w:tcW w:w="1384" w:type="dxa"/>
          </w:tcPr>
          <w:p w:rsidR="00CE1A26" w:rsidRDefault="00CE1A26" w:rsidP="00A402C3">
            <w:r>
              <w:t>25.1.2021</w:t>
            </w:r>
          </w:p>
        </w:tc>
        <w:tc>
          <w:tcPr>
            <w:tcW w:w="738" w:type="dxa"/>
          </w:tcPr>
          <w:p w:rsidR="00CE1A26" w:rsidRDefault="00CE1A26" w:rsidP="00A402C3">
            <w:pPr>
              <w:jc w:val="center"/>
              <w:cnfStyle w:val="000000000000"/>
            </w:pPr>
            <w:r>
              <w:t>1</w:t>
            </w:r>
          </w:p>
        </w:tc>
        <w:tc>
          <w:tcPr>
            <w:tcW w:w="1701" w:type="dxa"/>
          </w:tcPr>
          <w:p w:rsidR="00CE1A26" w:rsidRDefault="00CE1A26" w:rsidP="00A402C3">
            <w:pPr>
              <w:jc w:val="center"/>
              <w:cnfStyle w:val="000000000000"/>
            </w:pPr>
            <w:r>
              <w:t>redovna</w:t>
            </w:r>
          </w:p>
        </w:tc>
        <w:tc>
          <w:tcPr>
            <w:tcW w:w="850" w:type="dxa"/>
          </w:tcPr>
          <w:p w:rsidR="00CE1A26" w:rsidRDefault="00CE1A26" w:rsidP="00A402C3">
            <w:pPr>
              <w:jc w:val="center"/>
              <w:cnfStyle w:val="000000000000"/>
            </w:pPr>
            <w:r>
              <w:t>27</w:t>
            </w:r>
          </w:p>
        </w:tc>
        <w:tc>
          <w:tcPr>
            <w:tcW w:w="1173" w:type="dxa"/>
          </w:tcPr>
          <w:p w:rsidR="00CE1A26" w:rsidRDefault="00CE1A26" w:rsidP="00A402C3">
            <w:pPr>
              <w:jc w:val="center"/>
              <w:cnfStyle w:val="000000000000"/>
            </w:pPr>
            <w:r>
              <w:t>27</w:t>
            </w:r>
          </w:p>
        </w:tc>
        <w:tc>
          <w:tcPr>
            <w:tcW w:w="1035" w:type="dxa"/>
          </w:tcPr>
          <w:p w:rsidR="00CE1A26" w:rsidRDefault="00CE1A26" w:rsidP="00A402C3">
            <w:pPr>
              <w:jc w:val="center"/>
              <w:cnfStyle w:val="000000000000"/>
            </w:pPr>
            <w:r>
              <w:t>27</w:t>
            </w:r>
          </w:p>
        </w:tc>
        <w:tc>
          <w:tcPr>
            <w:tcW w:w="1024" w:type="dxa"/>
          </w:tcPr>
          <w:p w:rsidR="00CE1A26" w:rsidRDefault="00CE1A26" w:rsidP="00A402C3">
            <w:pPr>
              <w:jc w:val="center"/>
              <w:cnfStyle w:val="000000000000"/>
            </w:pPr>
            <w:r>
              <w:t>27</w:t>
            </w:r>
          </w:p>
        </w:tc>
        <w:tc>
          <w:tcPr>
            <w:tcW w:w="1157" w:type="dxa"/>
          </w:tcPr>
          <w:p w:rsidR="00CE1A26" w:rsidRDefault="00CE1A26" w:rsidP="00A402C3">
            <w:pPr>
              <w:jc w:val="center"/>
              <w:cnfStyle w:val="000000000000"/>
            </w:pPr>
            <w:r>
              <w:t>05:50</w:t>
            </w:r>
          </w:p>
        </w:tc>
      </w:tr>
      <w:tr w:rsidR="00CE1A26" w:rsidTr="00CE1A26">
        <w:trPr>
          <w:cnfStyle w:val="000000100000"/>
        </w:trPr>
        <w:tc>
          <w:tcPr>
            <w:cnfStyle w:val="001000000000"/>
            <w:tcW w:w="1384" w:type="dxa"/>
          </w:tcPr>
          <w:p w:rsidR="00CE1A26" w:rsidRDefault="00CE1A26" w:rsidP="00A402C3">
            <w:pPr>
              <w:jc w:val="center"/>
            </w:pPr>
            <w:r>
              <w:t>26.2.2021</w:t>
            </w:r>
          </w:p>
        </w:tc>
        <w:tc>
          <w:tcPr>
            <w:tcW w:w="738" w:type="dxa"/>
          </w:tcPr>
          <w:p w:rsidR="00CE1A26" w:rsidRDefault="00CE1A26" w:rsidP="00A402C3">
            <w:pPr>
              <w:jc w:val="center"/>
              <w:cnfStyle w:val="000000100000"/>
            </w:pPr>
            <w:r>
              <w:t>2</w:t>
            </w:r>
          </w:p>
        </w:tc>
        <w:tc>
          <w:tcPr>
            <w:tcW w:w="1701" w:type="dxa"/>
          </w:tcPr>
          <w:p w:rsidR="00CE1A26" w:rsidRDefault="00CE1A26" w:rsidP="00A402C3">
            <w:pPr>
              <w:jc w:val="center"/>
              <w:cnfStyle w:val="000000100000"/>
            </w:pPr>
            <w:r>
              <w:t>redovna</w:t>
            </w:r>
          </w:p>
        </w:tc>
        <w:tc>
          <w:tcPr>
            <w:tcW w:w="850" w:type="dxa"/>
          </w:tcPr>
          <w:p w:rsidR="00CE1A26" w:rsidRDefault="00CE1A26" w:rsidP="00A402C3">
            <w:pPr>
              <w:jc w:val="center"/>
              <w:cnfStyle w:val="000000100000"/>
            </w:pPr>
            <w:r>
              <w:t>26</w:t>
            </w:r>
          </w:p>
        </w:tc>
        <w:tc>
          <w:tcPr>
            <w:tcW w:w="1173" w:type="dxa"/>
          </w:tcPr>
          <w:p w:rsidR="00CE1A26" w:rsidRDefault="00CE1A26" w:rsidP="00A402C3">
            <w:pPr>
              <w:jc w:val="center"/>
              <w:cnfStyle w:val="000000100000"/>
            </w:pPr>
            <w:r>
              <w:t>26</w:t>
            </w:r>
          </w:p>
        </w:tc>
        <w:tc>
          <w:tcPr>
            <w:tcW w:w="1035" w:type="dxa"/>
          </w:tcPr>
          <w:p w:rsidR="00CE1A26" w:rsidRDefault="00CE1A26" w:rsidP="00A402C3">
            <w:pPr>
              <w:jc w:val="center"/>
              <w:cnfStyle w:val="000000100000"/>
            </w:pPr>
            <w:r>
              <w:t>26</w:t>
            </w:r>
          </w:p>
        </w:tc>
        <w:tc>
          <w:tcPr>
            <w:tcW w:w="1024" w:type="dxa"/>
          </w:tcPr>
          <w:p w:rsidR="00CE1A26" w:rsidRDefault="00CE1A26" w:rsidP="00A402C3">
            <w:pPr>
              <w:jc w:val="center"/>
              <w:cnfStyle w:val="000000100000"/>
            </w:pPr>
            <w:r>
              <w:t>26</w:t>
            </w:r>
          </w:p>
        </w:tc>
        <w:tc>
          <w:tcPr>
            <w:tcW w:w="1157" w:type="dxa"/>
          </w:tcPr>
          <w:p w:rsidR="00CE1A26" w:rsidRDefault="00CE1A26" w:rsidP="00A402C3">
            <w:pPr>
              <w:jc w:val="center"/>
              <w:cnfStyle w:val="000000100000"/>
            </w:pPr>
            <w:r>
              <w:t>06:35</w:t>
            </w:r>
          </w:p>
        </w:tc>
      </w:tr>
      <w:tr w:rsidR="00CE1A26" w:rsidTr="00CE1A26">
        <w:tc>
          <w:tcPr>
            <w:cnfStyle w:val="001000000000"/>
            <w:tcW w:w="1384" w:type="dxa"/>
          </w:tcPr>
          <w:p w:rsidR="00CE1A26" w:rsidRDefault="00CE1A26" w:rsidP="00A402C3">
            <w:pPr>
              <w:jc w:val="center"/>
            </w:pPr>
            <w:r>
              <w:t>11.5.2021</w:t>
            </w:r>
          </w:p>
        </w:tc>
        <w:tc>
          <w:tcPr>
            <w:tcW w:w="738" w:type="dxa"/>
          </w:tcPr>
          <w:p w:rsidR="00CE1A26" w:rsidRDefault="00CE1A26" w:rsidP="00A402C3">
            <w:pPr>
              <w:jc w:val="center"/>
              <w:cnfStyle w:val="000000000000"/>
            </w:pPr>
            <w:r>
              <w:t>3</w:t>
            </w:r>
          </w:p>
        </w:tc>
        <w:tc>
          <w:tcPr>
            <w:tcW w:w="1701" w:type="dxa"/>
          </w:tcPr>
          <w:p w:rsidR="00CE1A26" w:rsidRDefault="00CE1A26" w:rsidP="00A402C3">
            <w:pPr>
              <w:jc w:val="center"/>
              <w:cnfStyle w:val="000000000000"/>
            </w:pPr>
            <w:r>
              <w:t>redovna</w:t>
            </w:r>
          </w:p>
        </w:tc>
        <w:tc>
          <w:tcPr>
            <w:tcW w:w="850" w:type="dxa"/>
          </w:tcPr>
          <w:p w:rsidR="00CE1A26" w:rsidRDefault="00CE1A26" w:rsidP="00A402C3">
            <w:pPr>
              <w:jc w:val="center"/>
              <w:cnfStyle w:val="000000000000"/>
            </w:pPr>
            <w:r>
              <w:t>13</w:t>
            </w:r>
          </w:p>
        </w:tc>
        <w:tc>
          <w:tcPr>
            <w:tcW w:w="1173" w:type="dxa"/>
          </w:tcPr>
          <w:p w:rsidR="00CE1A26" w:rsidRDefault="00CE1A26" w:rsidP="00A402C3">
            <w:pPr>
              <w:jc w:val="center"/>
              <w:cnfStyle w:val="000000000000"/>
            </w:pPr>
            <w:r>
              <w:t>13</w:t>
            </w:r>
          </w:p>
        </w:tc>
        <w:tc>
          <w:tcPr>
            <w:tcW w:w="1035" w:type="dxa"/>
          </w:tcPr>
          <w:p w:rsidR="00CE1A26" w:rsidRDefault="006C25E6" w:rsidP="00A402C3">
            <w:pPr>
              <w:jc w:val="center"/>
              <w:cnfStyle w:val="000000000000"/>
            </w:pPr>
            <w:r>
              <w:t>12</w:t>
            </w:r>
          </w:p>
        </w:tc>
        <w:tc>
          <w:tcPr>
            <w:tcW w:w="1024" w:type="dxa"/>
          </w:tcPr>
          <w:p w:rsidR="00CE1A26" w:rsidRDefault="006C25E6" w:rsidP="00A402C3">
            <w:pPr>
              <w:jc w:val="center"/>
              <w:cnfStyle w:val="000000000000"/>
            </w:pPr>
            <w:r>
              <w:t>10</w:t>
            </w:r>
          </w:p>
        </w:tc>
        <w:tc>
          <w:tcPr>
            <w:tcW w:w="1157" w:type="dxa"/>
          </w:tcPr>
          <w:p w:rsidR="00CE1A26" w:rsidRDefault="009C048B" w:rsidP="00A402C3">
            <w:pPr>
              <w:jc w:val="center"/>
              <w:cnfStyle w:val="000000000000"/>
            </w:pPr>
            <w:r>
              <w:t>07.30</w:t>
            </w:r>
          </w:p>
        </w:tc>
      </w:tr>
      <w:tr w:rsidR="00CE1A26" w:rsidTr="00CE1A26">
        <w:trPr>
          <w:cnfStyle w:val="000000100000"/>
        </w:trPr>
        <w:tc>
          <w:tcPr>
            <w:cnfStyle w:val="001000000000"/>
            <w:tcW w:w="1384" w:type="dxa"/>
          </w:tcPr>
          <w:p w:rsidR="00CE1A26" w:rsidRDefault="00CE1A26" w:rsidP="00A402C3">
            <w:pPr>
              <w:jc w:val="center"/>
            </w:pPr>
            <w:r>
              <w:t>27.5.2021</w:t>
            </w:r>
          </w:p>
        </w:tc>
        <w:tc>
          <w:tcPr>
            <w:tcW w:w="738" w:type="dxa"/>
          </w:tcPr>
          <w:p w:rsidR="00CE1A26" w:rsidRDefault="00CE1A26" w:rsidP="00A402C3">
            <w:pPr>
              <w:jc w:val="center"/>
              <w:cnfStyle w:val="000000100000"/>
            </w:pPr>
            <w:r>
              <w:t>4</w:t>
            </w:r>
          </w:p>
        </w:tc>
        <w:tc>
          <w:tcPr>
            <w:tcW w:w="1701" w:type="dxa"/>
          </w:tcPr>
          <w:p w:rsidR="00CE1A26" w:rsidRDefault="00CE1A26" w:rsidP="00A402C3">
            <w:pPr>
              <w:jc w:val="center"/>
              <w:cnfStyle w:val="000000100000"/>
            </w:pPr>
            <w:r>
              <w:t>redovna</w:t>
            </w:r>
          </w:p>
        </w:tc>
        <w:tc>
          <w:tcPr>
            <w:tcW w:w="850" w:type="dxa"/>
          </w:tcPr>
          <w:p w:rsidR="00CE1A26" w:rsidRDefault="00CE1A26" w:rsidP="00A402C3">
            <w:pPr>
              <w:jc w:val="center"/>
              <w:cnfStyle w:val="000000100000"/>
            </w:pPr>
            <w:r>
              <w:t>17</w:t>
            </w:r>
          </w:p>
        </w:tc>
        <w:tc>
          <w:tcPr>
            <w:tcW w:w="1173" w:type="dxa"/>
          </w:tcPr>
          <w:p w:rsidR="00CE1A26" w:rsidRDefault="00CE1A26" w:rsidP="00A402C3">
            <w:pPr>
              <w:jc w:val="center"/>
              <w:cnfStyle w:val="000000100000"/>
            </w:pPr>
            <w:r>
              <w:t>17</w:t>
            </w:r>
          </w:p>
        </w:tc>
        <w:tc>
          <w:tcPr>
            <w:tcW w:w="1035" w:type="dxa"/>
          </w:tcPr>
          <w:p w:rsidR="00CE1A26" w:rsidRDefault="00A66408" w:rsidP="00A402C3">
            <w:pPr>
              <w:jc w:val="center"/>
              <w:cnfStyle w:val="000000100000"/>
            </w:pPr>
            <w:r>
              <w:t>15</w:t>
            </w:r>
          </w:p>
        </w:tc>
        <w:tc>
          <w:tcPr>
            <w:tcW w:w="1024" w:type="dxa"/>
          </w:tcPr>
          <w:p w:rsidR="00CE1A26" w:rsidRDefault="00A66408" w:rsidP="00A402C3">
            <w:pPr>
              <w:jc w:val="center"/>
              <w:cnfStyle w:val="000000100000"/>
            </w:pPr>
            <w:r>
              <w:t>13</w:t>
            </w:r>
          </w:p>
        </w:tc>
        <w:tc>
          <w:tcPr>
            <w:tcW w:w="1157" w:type="dxa"/>
          </w:tcPr>
          <w:p w:rsidR="00CE1A26" w:rsidRDefault="00A66408" w:rsidP="00A402C3">
            <w:pPr>
              <w:jc w:val="center"/>
              <w:cnfStyle w:val="000000100000"/>
            </w:pPr>
            <w:r>
              <w:t>12.15</w:t>
            </w:r>
          </w:p>
        </w:tc>
      </w:tr>
      <w:tr w:rsidR="00CE1A26" w:rsidTr="00CE1A26">
        <w:tc>
          <w:tcPr>
            <w:cnfStyle w:val="001000000000"/>
            <w:tcW w:w="1384" w:type="dxa"/>
          </w:tcPr>
          <w:p w:rsidR="00CE1A26" w:rsidRDefault="00CE1A26" w:rsidP="00A402C3">
            <w:pPr>
              <w:jc w:val="center"/>
            </w:pPr>
            <w:r>
              <w:t>31.5.2021</w:t>
            </w:r>
          </w:p>
        </w:tc>
        <w:tc>
          <w:tcPr>
            <w:tcW w:w="738" w:type="dxa"/>
          </w:tcPr>
          <w:p w:rsidR="00CE1A26" w:rsidRDefault="00CE1A26" w:rsidP="00A402C3">
            <w:pPr>
              <w:jc w:val="center"/>
              <w:cnfStyle w:val="000000000000"/>
            </w:pPr>
            <w:r>
              <w:t>5</w:t>
            </w:r>
          </w:p>
        </w:tc>
        <w:tc>
          <w:tcPr>
            <w:tcW w:w="1701" w:type="dxa"/>
          </w:tcPr>
          <w:p w:rsidR="00CE1A26" w:rsidRDefault="00CE1A26" w:rsidP="00A402C3">
            <w:pPr>
              <w:jc w:val="center"/>
              <w:cnfStyle w:val="000000000000"/>
            </w:pPr>
            <w:r>
              <w:t>redovna</w:t>
            </w:r>
          </w:p>
        </w:tc>
        <w:tc>
          <w:tcPr>
            <w:tcW w:w="850" w:type="dxa"/>
          </w:tcPr>
          <w:p w:rsidR="00CE1A26" w:rsidRDefault="00CE1A26" w:rsidP="00A402C3">
            <w:pPr>
              <w:jc w:val="center"/>
              <w:cnfStyle w:val="000000000000"/>
            </w:pPr>
            <w:r>
              <w:t>21</w:t>
            </w:r>
          </w:p>
        </w:tc>
        <w:tc>
          <w:tcPr>
            <w:tcW w:w="1173" w:type="dxa"/>
          </w:tcPr>
          <w:p w:rsidR="00CE1A26" w:rsidRDefault="00CE1A26" w:rsidP="00A402C3">
            <w:pPr>
              <w:jc w:val="center"/>
              <w:cnfStyle w:val="000000000000"/>
            </w:pPr>
            <w:r>
              <w:t>21</w:t>
            </w:r>
          </w:p>
        </w:tc>
        <w:tc>
          <w:tcPr>
            <w:tcW w:w="1035" w:type="dxa"/>
          </w:tcPr>
          <w:p w:rsidR="00CE1A26" w:rsidRDefault="00A66408" w:rsidP="00A402C3">
            <w:pPr>
              <w:jc w:val="center"/>
              <w:cnfStyle w:val="000000000000"/>
            </w:pPr>
            <w:r>
              <w:t>18</w:t>
            </w:r>
          </w:p>
        </w:tc>
        <w:tc>
          <w:tcPr>
            <w:tcW w:w="1024" w:type="dxa"/>
          </w:tcPr>
          <w:p w:rsidR="00CE1A26" w:rsidRDefault="00A66408" w:rsidP="00A402C3">
            <w:pPr>
              <w:jc w:val="center"/>
              <w:cnfStyle w:val="000000000000"/>
            </w:pPr>
            <w:r>
              <w:t>17</w:t>
            </w:r>
          </w:p>
        </w:tc>
        <w:tc>
          <w:tcPr>
            <w:tcW w:w="1157" w:type="dxa"/>
          </w:tcPr>
          <w:p w:rsidR="00CE1A26" w:rsidRDefault="00A66408" w:rsidP="00A402C3">
            <w:pPr>
              <w:jc w:val="center"/>
              <w:cnfStyle w:val="000000000000"/>
            </w:pPr>
            <w:r>
              <w:t>04.45</w:t>
            </w:r>
          </w:p>
        </w:tc>
      </w:tr>
      <w:tr w:rsidR="00CE1A26" w:rsidTr="00CE1A26">
        <w:trPr>
          <w:cnfStyle w:val="000000100000"/>
        </w:trPr>
        <w:tc>
          <w:tcPr>
            <w:cnfStyle w:val="001000000000"/>
            <w:tcW w:w="1384" w:type="dxa"/>
          </w:tcPr>
          <w:p w:rsidR="00CE1A26" w:rsidRDefault="00CE1A26" w:rsidP="00373AC3">
            <w:pPr>
              <w:jc w:val="center"/>
            </w:pPr>
            <w:r>
              <w:t>30.6.2021</w:t>
            </w:r>
          </w:p>
        </w:tc>
        <w:tc>
          <w:tcPr>
            <w:tcW w:w="738" w:type="dxa"/>
          </w:tcPr>
          <w:p w:rsidR="00CE1A26" w:rsidRDefault="00CE1A26" w:rsidP="00A402C3">
            <w:pPr>
              <w:jc w:val="center"/>
              <w:cnfStyle w:val="000000100000"/>
            </w:pPr>
            <w:r>
              <w:t>6</w:t>
            </w:r>
          </w:p>
        </w:tc>
        <w:tc>
          <w:tcPr>
            <w:tcW w:w="1701" w:type="dxa"/>
          </w:tcPr>
          <w:p w:rsidR="00CE1A26" w:rsidRDefault="00CE1A26" w:rsidP="00A402C3">
            <w:pPr>
              <w:jc w:val="center"/>
              <w:cnfStyle w:val="000000100000"/>
            </w:pPr>
            <w:r>
              <w:t>redovna</w:t>
            </w:r>
          </w:p>
        </w:tc>
        <w:tc>
          <w:tcPr>
            <w:tcW w:w="850" w:type="dxa"/>
          </w:tcPr>
          <w:p w:rsidR="00CE1A26" w:rsidRDefault="006949F6" w:rsidP="00A402C3">
            <w:pPr>
              <w:jc w:val="center"/>
              <w:cnfStyle w:val="000000100000"/>
            </w:pPr>
            <w:r>
              <w:t>17</w:t>
            </w:r>
          </w:p>
        </w:tc>
        <w:tc>
          <w:tcPr>
            <w:tcW w:w="1173" w:type="dxa"/>
          </w:tcPr>
          <w:p w:rsidR="00CE1A26" w:rsidRDefault="006949F6" w:rsidP="00A402C3">
            <w:pPr>
              <w:jc w:val="center"/>
              <w:cnfStyle w:val="000000100000"/>
            </w:pPr>
            <w:r>
              <w:t>17</w:t>
            </w:r>
          </w:p>
        </w:tc>
        <w:tc>
          <w:tcPr>
            <w:tcW w:w="1035" w:type="dxa"/>
          </w:tcPr>
          <w:p w:rsidR="00CE1A26" w:rsidRDefault="006949F6" w:rsidP="006949F6">
            <w:pPr>
              <w:jc w:val="center"/>
              <w:cnfStyle w:val="000000100000"/>
            </w:pPr>
            <w:r>
              <w:t>16</w:t>
            </w:r>
          </w:p>
        </w:tc>
        <w:tc>
          <w:tcPr>
            <w:tcW w:w="1024" w:type="dxa"/>
          </w:tcPr>
          <w:p w:rsidR="00CE1A26" w:rsidRDefault="006949F6" w:rsidP="00A402C3">
            <w:pPr>
              <w:jc w:val="center"/>
              <w:cnfStyle w:val="000000100000"/>
            </w:pPr>
            <w:r>
              <w:t>11</w:t>
            </w:r>
          </w:p>
        </w:tc>
        <w:tc>
          <w:tcPr>
            <w:tcW w:w="1157" w:type="dxa"/>
          </w:tcPr>
          <w:p w:rsidR="00CE1A26" w:rsidRDefault="006949F6" w:rsidP="00A402C3">
            <w:pPr>
              <w:jc w:val="center"/>
              <w:cnfStyle w:val="000000100000"/>
            </w:pPr>
            <w:r>
              <w:t>04.15</w:t>
            </w:r>
          </w:p>
        </w:tc>
      </w:tr>
      <w:tr w:rsidR="00CE1A26" w:rsidRPr="0021257B" w:rsidTr="00CE1A26">
        <w:tc>
          <w:tcPr>
            <w:cnfStyle w:val="001000000000"/>
            <w:tcW w:w="1384" w:type="dxa"/>
          </w:tcPr>
          <w:p w:rsidR="00CE1A26" w:rsidRPr="0021257B" w:rsidRDefault="00CE1A26" w:rsidP="00A402C3">
            <w:pPr>
              <w:jc w:val="center"/>
              <w:rPr>
                <w:b w:val="0"/>
              </w:rPr>
            </w:pPr>
            <w:r w:rsidRPr="0021257B">
              <w:rPr>
                <w:b w:val="0"/>
              </w:rPr>
              <w:t xml:space="preserve">Ukupno </w:t>
            </w:r>
          </w:p>
        </w:tc>
        <w:tc>
          <w:tcPr>
            <w:tcW w:w="2439" w:type="dxa"/>
            <w:gridSpan w:val="2"/>
          </w:tcPr>
          <w:p w:rsidR="00CE1A26" w:rsidRPr="0021257B" w:rsidRDefault="00CE1A26" w:rsidP="00A402C3">
            <w:pPr>
              <w:jc w:val="center"/>
              <w:cnfStyle w:val="000000000000"/>
              <w:rPr>
                <w:b/>
              </w:rPr>
            </w:pPr>
          </w:p>
        </w:tc>
        <w:tc>
          <w:tcPr>
            <w:tcW w:w="850" w:type="dxa"/>
          </w:tcPr>
          <w:p w:rsidR="00CE1A26" w:rsidRPr="0021257B" w:rsidRDefault="00CE1A26" w:rsidP="006949F6">
            <w:pPr>
              <w:jc w:val="center"/>
              <w:cnfStyle w:val="000000000000"/>
              <w:rPr>
                <w:b/>
              </w:rPr>
            </w:pPr>
            <w:r>
              <w:rPr>
                <w:b/>
              </w:rPr>
              <w:t>1</w:t>
            </w:r>
            <w:r w:rsidR="006949F6">
              <w:rPr>
                <w:b/>
              </w:rPr>
              <w:t>27</w:t>
            </w:r>
          </w:p>
        </w:tc>
        <w:tc>
          <w:tcPr>
            <w:tcW w:w="1173" w:type="dxa"/>
          </w:tcPr>
          <w:p w:rsidR="00CE1A26" w:rsidRPr="0021257B" w:rsidRDefault="006949F6" w:rsidP="00A402C3">
            <w:pPr>
              <w:jc w:val="center"/>
              <w:cnfStyle w:val="000000000000"/>
              <w:rPr>
                <w:b/>
              </w:rPr>
            </w:pPr>
            <w:r>
              <w:rPr>
                <w:b/>
              </w:rPr>
              <w:t>127</w:t>
            </w:r>
          </w:p>
        </w:tc>
        <w:tc>
          <w:tcPr>
            <w:tcW w:w="1035" w:type="dxa"/>
          </w:tcPr>
          <w:p w:rsidR="00CE1A26" w:rsidRPr="0021257B" w:rsidRDefault="006949F6" w:rsidP="00A402C3">
            <w:pPr>
              <w:jc w:val="center"/>
              <w:cnfStyle w:val="000000000000"/>
              <w:rPr>
                <w:b/>
              </w:rPr>
            </w:pPr>
            <w:r>
              <w:rPr>
                <w:b/>
              </w:rPr>
              <w:t>120</w:t>
            </w:r>
          </w:p>
        </w:tc>
        <w:tc>
          <w:tcPr>
            <w:tcW w:w="1024" w:type="dxa"/>
          </w:tcPr>
          <w:p w:rsidR="00CE1A26" w:rsidRPr="0021257B" w:rsidRDefault="006949F6" w:rsidP="00A402C3">
            <w:pPr>
              <w:jc w:val="center"/>
              <w:cnfStyle w:val="000000000000"/>
              <w:rPr>
                <w:b/>
              </w:rPr>
            </w:pPr>
            <w:r>
              <w:rPr>
                <w:b/>
              </w:rPr>
              <w:t>110</w:t>
            </w:r>
          </w:p>
        </w:tc>
        <w:tc>
          <w:tcPr>
            <w:tcW w:w="1157" w:type="dxa"/>
          </w:tcPr>
          <w:p w:rsidR="00CE1A26" w:rsidRPr="0021257B" w:rsidRDefault="006949F6" w:rsidP="00A402C3">
            <w:pPr>
              <w:jc w:val="center"/>
              <w:cnfStyle w:val="000000000000"/>
              <w:rPr>
                <w:b/>
              </w:rPr>
            </w:pPr>
            <w:r>
              <w:rPr>
                <w:b/>
              </w:rPr>
              <w:t>43.50</w:t>
            </w:r>
          </w:p>
        </w:tc>
      </w:tr>
    </w:tbl>
    <w:p w:rsidR="00373AC3" w:rsidRPr="0059477D" w:rsidRDefault="00373AC3" w:rsidP="00373AC3">
      <w:pPr>
        <w:rPr>
          <w:b/>
          <w:sz w:val="18"/>
          <w:szCs w:val="18"/>
        </w:rPr>
      </w:pPr>
      <w:r w:rsidRPr="0059477D">
        <w:rPr>
          <w:b/>
          <w:sz w:val="18"/>
          <w:szCs w:val="18"/>
        </w:rPr>
        <w:t>Tabela 1: Pregled osn</w:t>
      </w:r>
      <w:r>
        <w:rPr>
          <w:b/>
          <w:sz w:val="18"/>
          <w:szCs w:val="18"/>
        </w:rPr>
        <w:t>ovnih statističkih podataka o održanim sjednicama Općinskog</w:t>
      </w:r>
      <w:r w:rsidRPr="0059477D">
        <w:rPr>
          <w:b/>
          <w:sz w:val="18"/>
          <w:szCs w:val="18"/>
        </w:rPr>
        <w:t xml:space="preserve"> </w:t>
      </w:r>
      <w:r>
        <w:rPr>
          <w:b/>
          <w:sz w:val="18"/>
          <w:szCs w:val="18"/>
        </w:rPr>
        <w:t>vijeća Zavidovići</w:t>
      </w:r>
      <w:r w:rsidRPr="0059477D">
        <w:rPr>
          <w:b/>
          <w:sz w:val="18"/>
          <w:szCs w:val="18"/>
        </w:rPr>
        <w:t xml:space="preserve"> u razdoblju 1.1. - 30.6. 2021.godine</w:t>
      </w:r>
    </w:p>
    <w:p w:rsidR="00373AC3" w:rsidRDefault="00373AC3" w:rsidP="00373AC3">
      <w:pPr>
        <w:rPr>
          <w:b/>
          <w:sz w:val="16"/>
          <w:szCs w:val="16"/>
        </w:rPr>
      </w:pPr>
    </w:p>
    <w:p w:rsidR="00373AC3" w:rsidRPr="00A66689" w:rsidRDefault="00373AC3" w:rsidP="00373AC3">
      <w:pPr>
        <w:jc w:val="both"/>
      </w:pPr>
      <w:r w:rsidRPr="00A66689">
        <w:t>Na održanim sjednicama u pr</w:t>
      </w:r>
      <w:r>
        <w:t>oteklom periodu razmatrano je</w:t>
      </w:r>
      <w:r w:rsidR="006949F6">
        <w:t xml:space="preserve"> 120 mjera od čega su usvojeno 110</w:t>
      </w:r>
      <w:r>
        <w:t xml:space="preserve"> </w:t>
      </w:r>
      <w:r w:rsidR="006949F6">
        <w:t xml:space="preserve">mjera. </w:t>
      </w:r>
      <w:r>
        <w:t xml:space="preserve"> Prosječno je razmatrano</w:t>
      </w:r>
      <w:r w:rsidR="006949F6">
        <w:t xml:space="preserve"> 17 mjera</w:t>
      </w:r>
      <w:r w:rsidR="00E1433B">
        <w:t>,</w:t>
      </w:r>
      <w:r w:rsidR="006949F6">
        <w:t xml:space="preserve"> </w:t>
      </w:r>
      <w:r>
        <w:t xml:space="preserve">a usvojeno </w:t>
      </w:r>
      <w:r w:rsidR="006949F6">
        <w:t xml:space="preserve"> 15 </w:t>
      </w:r>
      <w:r>
        <w:t xml:space="preserve">mjera po sjednici. </w:t>
      </w:r>
    </w:p>
    <w:p w:rsidR="00373AC3" w:rsidRDefault="00373AC3" w:rsidP="00373AC3">
      <w:pPr>
        <w:jc w:val="both"/>
      </w:pPr>
      <w:r>
        <w:t xml:space="preserve">Uočavamo da je najviše mjera razmatrano i usvojeno na </w:t>
      </w:r>
      <w:r w:rsidR="006949F6">
        <w:t>petoj redovnoj s</w:t>
      </w:r>
      <w:r>
        <w:t>jednici .</w:t>
      </w:r>
    </w:p>
    <w:p w:rsidR="0038454C" w:rsidRDefault="0038454C" w:rsidP="00373AC3">
      <w:pPr>
        <w:jc w:val="both"/>
      </w:pPr>
      <w:r w:rsidRPr="0038454C">
        <w:t xml:space="preserve">Nakon </w:t>
      </w:r>
      <w:r>
        <w:t>konstituirajuće sjednice, održane krajem 2020.godine, na kojoj su izabrani predsjedavajući OV i zamjenik, Kolegij OV i Komisije, na prvoj sjednici OV usvojen je Nacrt Budžeta za 2021.godinu i upućen na Javnu raspravu. Na drugoj sjednici, održanoj krajem februara, usvojen je</w:t>
      </w:r>
      <w:r w:rsidR="005B6E3B">
        <w:t xml:space="preserve"> Program rada OV za 2021.godinu, dok je na trećoj sjednici prezentovan Program rada načelnika općine za 2021.godinu. Zbog problema izazvanih pandemijom korona virusa na trećoj sjednici OV je donijelo dopunu Poslovnika o radu OV u kojem se definira kada se OV može sastati u slučaju pandemije, epidemije isl. Četvrta i peta sjednica su bile posvećene usvajanju Izvještaja o radu JP i ustanova za 2020.godinu, kao i izradi regulacionih planova za pojedina naselja u Zavidovićima.</w:t>
      </w:r>
      <w:r w:rsidR="00D35B41">
        <w:t xml:space="preserve"> Na šestoj redovnoj sjednici razmatran je izvještaj o izvršenju Budžeta za 2020.godinu, kao i izvještaj o izvršenju Budžeta za prva tri mjeseca 2021.godine. </w:t>
      </w:r>
    </w:p>
    <w:p w:rsidR="00E1433B" w:rsidRPr="005B6E3B" w:rsidRDefault="00E1433B" w:rsidP="00373AC3">
      <w:pPr>
        <w:tabs>
          <w:tab w:val="left" w:pos="3645"/>
        </w:tabs>
        <w:rPr>
          <w:color w:val="FF0000"/>
        </w:rPr>
      </w:pPr>
    </w:p>
    <w:tbl>
      <w:tblPr>
        <w:tblStyle w:val="GridTable4Accent1"/>
        <w:tblW w:w="0" w:type="auto"/>
        <w:tblLook w:val="04A0"/>
      </w:tblPr>
      <w:tblGrid>
        <w:gridCol w:w="4531"/>
        <w:gridCol w:w="4531"/>
      </w:tblGrid>
      <w:tr w:rsidR="00E1433B" w:rsidTr="00A402C3">
        <w:trPr>
          <w:cnfStyle w:val="100000000000"/>
        </w:trPr>
        <w:tc>
          <w:tcPr>
            <w:cnfStyle w:val="001000000000"/>
            <w:tcW w:w="4531" w:type="dxa"/>
          </w:tcPr>
          <w:p w:rsidR="00E1433B" w:rsidRDefault="00E1433B" w:rsidP="00A402C3">
            <w:pPr>
              <w:jc w:val="center"/>
            </w:pPr>
            <w:r>
              <w:t>Tipovi mjera</w:t>
            </w:r>
          </w:p>
        </w:tc>
        <w:tc>
          <w:tcPr>
            <w:tcW w:w="4531" w:type="dxa"/>
          </w:tcPr>
          <w:p w:rsidR="00E1433B" w:rsidRDefault="00E1433B" w:rsidP="00A402C3">
            <w:pPr>
              <w:jc w:val="center"/>
              <w:cnfStyle w:val="100000000000"/>
            </w:pPr>
            <w:r>
              <w:t>Relizirano</w:t>
            </w:r>
          </w:p>
        </w:tc>
      </w:tr>
      <w:tr w:rsidR="00E1433B" w:rsidTr="00A402C3">
        <w:trPr>
          <w:cnfStyle w:val="000000100000"/>
        </w:trPr>
        <w:tc>
          <w:tcPr>
            <w:cnfStyle w:val="001000000000"/>
            <w:tcW w:w="4531" w:type="dxa"/>
          </w:tcPr>
          <w:p w:rsidR="00E1433B" w:rsidRPr="00844174" w:rsidRDefault="00E1433B" w:rsidP="00A402C3">
            <w:pPr>
              <w:jc w:val="center"/>
              <w:rPr>
                <w:b w:val="0"/>
              </w:rPr>
            </w:pPr>
            <w:r w:rsidRPr="00844174">
              <w:rPr>
                <w:b w:val="0"/>
              </w:rPr>
              <w:t>Rješenje</w:t>
            </w:r>
          </w:p>
        </w:tc>
        <w:tc>
          <w:tcPr>
            <w:tcW w:w="4531" w:type="dxa"/>
          </w:tcPr>
          <w:p w:rsidR="00E1433B" w:rsidRDefault="00F2211A" w:rsidP="00A402C3">
            <w:pPr>
              <w:jc w:val="center"/>
              <w:cnfStyle w:val="000000100000"/>
            </w:pPr>
            <w:r>
              <w:t>9</w:t>
            </w:r>
          </w:p>
        </w:tc>
      </w:tr>
      <w:tr w:rsidR="00E1433B" w:rsidTr="00A402C3">
        <w:tc>
          <w:tcPr>
            <w:cnfStyle w:val="001000000000"/>
            <w:tcW w:w="4531" w:type="dxa"/>
          </w:tcPr>
          <w:p w:rsidR="00E1433B" w:rsidRPr="00844174" w:rsidRDefault="00E1433B" w:rsidP="00A402C3">
            <w:pPr>
              <w:jc w:val="center"/>
              <w:rPr>
                <w:b w:val="0"/>
              </w:rPr>
            </w:pPr>
            <w:r w:rsidRPr="00844174">
              <w:rPr>
                <w:b w:val="0"/>
              </w:rPr>
              <w:t>Izvješ</w:t>
            </w:r>
            <w:r>
              <w:rPr>
                <w:b w:val="0"/>
              </w:rPr>
              <w:t>taji</w:t>
            </w:r>
          </w:p>
        </w:tc>
        <w:tc>
          <w:tcPr>
            <w:tcW w:w="4531" w:type="dxa"/>
          </w:tcPr>
          <w:p w:rsidR="00E1433B" w:rsidRDefault="00F2211A" w:rsidP="00A402C3">
            <w:pPr>
              <w:jc w:val="center"/>
              <w:cnfStyle w:val="000000000000"/>
            </w:pPr>
            <w:r>
              <w:t>21</w:t>
            </w:r>
          </w:p>
        </w:tc>
      </w:tr>
      <w:tr w:rsidR="00E1433B" w:rsidTr="00A402C3">
        <w:trPr>
          <w:cnfStyle w:val="000000100000"/>
        </w:trPr>
        <w:tc>
          <w:tcPr>
            <w:cnfStyle w:val="001000000000"/>
            <w:tcW w:w="4531" w:type="dxa"/>
          </w:tcPr>
          <w:p w:rsidR="00E1433B" w:rsidRPr="00844174" w:rsidRDefault="00E1433B" w:rsidP="00A402C3">
            <w:pPr>
              <w:jc w:val="center"/>
              <w:rPr>
                <w:b w:val="0"/>
              </w:rPr>
            </w:pPr>
            <w:r w:rsidRPr="00844174">
              <w:rPr>
                <w:b w:val="0"/>
              </w:rPr>
              <w:t>Odluka</w:t>
            </w:r>
          </w:p>
        </w:tc>
        <w:tc>
          <w:tcPr>
            <w:tcW w:w="4531" w:type="dxa"/>
          </w:tcPr>
          <w:p w:rsidR="00E1433B" w:rsidRDefault="00F2211A" w:rsidP="00A402C3">
            <w:pPr>
              <w:jc w:val="center"/>
              <w:cnfStyle w:val="000000100000"/>
            </w:pPr>
            <w:r>
              <w:t>54</w:t>
            </w:r>
          </w:p>
        </w:tc>
      </w:tr>
      <w:tr w:rsidR="00E1433B" w:rsidTr="00A402C3">
        <w:tc>
          <w:tcPr>
            <w:cnfStyle w:val="001000000000"/>
            <w:tcW w:w="4531" w:type="dxa"/>
          </w:tcPr>
          <w:p w:rsidR="00E1433B" w:rsidRPr="00844174" w:rsidRDefault="00E1433B" w:rsidP="00A402C3">
            <w:pPr>
              <w:jc w:val="center"/>
              <w:rPr>
                <w:b w:val="0"/>
              </w:rPr>
            </w:pPr>
            <w:r w:rsidRPr="00844174">
              <w:rPr>
                <w:b w:val="0"/>
              </w:rPr>
              <w:t>Program</w:t>
            </w:r>
          </w:p>
        </w:tc>
        <w:tc>
          <w:tcPr>
            <w:tcW w:w="4531" w:type="dxa"/>
          </w:tcPr>
          <w:p w:rsidR="00E1433B" w:rsidRDefault="00F2211A" w:rsidP="00A402C3">
            <w:pPr>
              <w:jc w:val="center"/>
              <w:cnfStyle w:val="000000000000"/>
            </w:pPr>
            <w:r>
              <w:t>3</w:t>
            </w:r>
          </w:p>
        </w:tc>
      </w:tr>
      <w:tr w:rsidR="00E1433B" w:rsidTr="00A402C3">
        <w:trPr>
          <w:cnfStyle w:val="000000100000"/>
        </w:trPr>
        <w:tc>
          <w:tcPr>
            <w:cnfStyle w:val="001000000000"/>
            <w:tcW w:w="4531" w:type="dxa"/>
          </w:tcPr>
          <w:p w:rsidR="00E1433B" w:rsidRPr="00844174" w:rsidRDefault="00E1433B" w:rsidP="00A402C3">
            <w:pPr>
              <w:jc w:val="center"/>
              <w:rPr>
                <w:b w:val="0"/>
              </w:rPr>
            </w:pPr>
            <w:r>
              <w:rPr>
                <w:b w:val="0"/>
              </w:rPr>
              <w:t>Budžet</w:t>
            </w:r>
          </w:p>
        </w:tc>
        <w:tc>
          <w:tcPr>
            <w:tcW w:w="4531" w:type="dxa"/>
          </w:tcPr>
          <w:p w:rsidR="00E1433B" w:rsidRDefault="00F2211A" w:rsidP="00A402C3">
            <w:pPr>
              <w:jc w:val="center"/>
              <w:cnfStyle w:val="000000100000"/>
            </w:pPr>
            <w:r>
              <w:t>2</w:t>
            </w:r>
          </w:p>
        </w:tc>
      </w:tr>
      <w:tr w:rsidR="00F2211A" w:rsidTr="00A402C3">
        <w:tc>
          <w:tcPr>
            <w:cnfStyle w:val="001000000000"/>
            <w:tcW w:w="4531" w:type="dxa"/>
          </w:tcPr>
          <w:p w:rsidR="00F2211A" w:rsidRPr="00844174" w:rsidRDefault="00F2211A" w:rsidP="00A402C3">
            <w:pPr>
              <w:jc w:val="center"/>
              <w:rPr>
                <w:b w:val="0"/>
              </w:rPr>
            </w:pPr>
            <w:r>
              <w:rPr>
                <w:b w:val="0"/>
              </w:rPr>
              <w:t>Inicijativa</w:t>
            </w:r>
          </w:p>
        </w:tc>
        <w:tc>
          <w:tcPr>
            <w:tcW w:w="4531" w:type="dxa"/>
          </w:tcPr>
          <w:p w:rsidR="00F2211A" w:rsidRDefault="00F2211A" w:rsidP="00A402C3">
            <w:pPr>
              <w:jc w:val="center"/>
              <w:cnfStyle w:val="000000000000"/>
            </w:pPr>
            <w:r>
              <w:t>4</w:t>
            </w:r>
          </w:p>
        </w:tc>
      </w:tr>
      <w:tr w:rsidR="00F2211A" w:rsidTr="00A402C3">
        <w:trPr>
          <w:cnfStyle w:val="000000100000"/>
        </w:trPr>
        <w:tc>
          <w:tcPr>
            <w:cnfStyle w:val="001000000000"/>
            <w:tcW w:w="4531" w:type="dxa"/>
          </w:tcPr>
          <w:p w:rsidR="00F2211A" w:rsidRPr="00844174" w:rsidRDefault="00F2211A" w:rsidP="00A402C3">
            <w:pPr>
              <w:jc w:val="center"/>
              <w:rPr>
                <w:b w:val="0"/>
              </w:rPr>
            </w:pPr>
            <w:r>
              <w:rPr>
                <w:b w:val="0"/>
              </w:rPr>
              <w:t xml:space="preserve">Akcioni </w:t>
            </w:r>
            <w:r w:rsidRPr="00844174">
              <w:rPr>
                <w:b w:val="0"/>
              </w:rPr>
              <w:t>Plan</w:t>
            </w:r>
          </w:p>
        </w:tc>
        <w:tc>
          <w:tcPr>
            <w:tcW w:w="4531" w:type="dxa"/>
          </w:tcPr>
          <w:p w:rsidR="00F2211A" w:rsidRDefault="00F2211A" w:rsidP="00A402C3">
            <w:pPr>
              <w:jc w:val="center"/>
              <w:cnfStyle w:val="000000100000"/>
            </w:pPr>
            <w:r>
              <w:t>1</w:t>
            </w:r>
          </w:p>
        </w:tc>
      </w:tr>
      <w:tr w:rsidR="00F2211A" w:rsidTr="00A402C3">
        <w:tc>
          <w:tcPr>
            <w:cnfStyle w:val="001000000000"/>
            <w:tcW w:w="4531" w:type="dxa"/>
          </w:tcPr>
          <w:p w:rsidR="00F2211A" w:rsidRPr="00844174" w:rsidRDefault="00F2211A" w:rsidP="00A402C3">
            <w:pPr>
              <w:jc w:val="center"/>
              <w:rPr>
                <w:b w:val="0"/>
              </w:rPr>
            </w:pPr>
            <w:r>
              <w:rPr>
                <w:b w:val="0"/>
              </w:rPr>
              <w:t>Rješenja, rezulucija, ostalo</w:t>
            </w:r>
          </w:p>
        </w:tc>
        <w:tc>
          <w:tcPr>
            <w:tcW w:w="4531" w:type="dxa"/>
          </w:tcPr>
          <w:p w:rsidR="00F2211A" w:rsidRDefault="00F2211A" w:rsidP="00A402C3">
            <w:pPr>
              <w:jc w:val="center"/>
              <w:cnfStyle w:val="000000000000"/>
            </w:pPr>
            <w:r>
              <w:t>14</w:t>
            </w:r>
          </w:p>
        </w:tc>
      </w:tr>
      <w:tr w:rsidR="00F2211A" w:rsidTr="00A402C3">
        <w:trPr>
          <w:cnfStyle w:val="000000100000"/>
        </w:trPr>
        <w:tc>
          <w:tcPr>
            <w:cnfStyle w:val="001000000000"/>
            <w:tcW w:w="4531" w:type="dxa"/>
          </w:tcPr>
          <w:p w:rsidR="00F2211A" w:rsidRPr="00844174" w:rsidRDefault="00F2211A" w:rsidP="00A402C3">
            <w:pPr>
              <w:jc w:val="center"/>
              <w:rPr>
                <w:b w:val="0"/>
              </w:rPr>
            </w:pPr>
          </w:p>
        </w:tc>
        <w:tc>
          <w:tcPr>
            <w:tcW w:w="4531" w:type="dxa"/>
          </w:tcPr>
          <w:p w:rsidR="00F2211A" w:rsidRDefault="00F2211A" w:rsidP="00A402C3">
            <w:pPr>
              <w:jc w:val="center"/>
              <w:cnfStyle w:val="000000100000"/>
            </w:pPr>
          </w:p>
        </w:tc>
      </w:tr>
      <w:tr w:rsidR="00F2211A" w:rsidTr="00A402C3">
        <w:trPr>
          <w:trHeight w:val="302"/>
        </w:trPr>
        <w:tc>
          <w:tcPr>
            <w:cnfStyle w:val="001000000000"/>
            <w:tcW w:w="4531" w:type="dxa"/>
          </w:tcPr>
          <w:p w:rsidR="00F2211A" w:rsidRPr="00844174" w:rsidRDefault="00F2211A" w:rsidP="00A402C3">
            <w:pPr>
              <w:jc w:val="center"/>
              <w:rPr>
                <w:b w:val="0"/>
              </w:rPr>
            </w:pPr>
          </w:p>
        </w:tc>
        <w:tc>
          <w:tcPr>
            <w:tcW w:w="4531" w:type="dxa"/>
          </w:tcPr>
          <w:p w:rsidR="00F2211A" w:rsidRDefault="00F2211A" w:rsidP="00A402C3">
            <w:pPr>
              <w:jc w:val="center"/>
              <w:cnfStyle w:val="000000000000"/>
            </w:pPr>
          </w:p>
        </w:tc>
      </w:tr>
      <w:tr w:rsidR="00F2211A" w:rsidTr="00A402C3">
        <w:trPr>
          <w:cnfStyle w:val="000000100000"/>
        </w:trPr>
        <w:tc>
          <w:tcPr>
            <w:cnfStyle w:val="001000000000"/>
            <w:tcW w:w="4531" w:type="dxa"/>
          </w:tcPr>
          <w:p w:rsidR="00F2211A" w:rsidRDefault="00F2211A" w:rsidP="00A402C3">
            <w:pPr>
              <w:jc w:val="center"/>
            </w:pPr>
            <w:r>
              <w:t>UKUPNO</w:t>
            </w:r>
          </w:p>
        </w:tc>
        <w:tc>
          <w:tcPr>
            <w:tcW w:w="4531" w:type="dxa"/>
          </w:tcPr>
          <w:p w:rsidR="00F2211A" w:rsidRPr="00844174" w:rsidRDefault="00F2211A" w:rsidP="00F2211A">
            <w:pPr>
              <w:cnfStyle w:val="000000100000"/>
              <w:rPr>
                <w:b/>
              </w:rPr>
            </w:pPr>
            <w:r>
              <w:rPr>
                <w:b/>
              </w:rPr>
              <w:t xml:space="preserve">                                       110   </w:t>
            </w:r>
          </w:p>
        </w:tc>
      </w:tr>
    </w:tbl>
    <w:p w:rsidR="00E1433B" w:rsidRPr="006D02FE" w:rsidRDefault="00E1433B" w:rsidP="00E1433B">
      <w:pPr>
        <w:jc w:val="center"/>
        <w:rPr>
          <w:b/>
        </w:rPr>
      </w:pPr>
      <w:r>
        <w:rPr>
          <w:b/>
        </w:rPr>
        <w:t>Tabela 3</w:t>
      </w:r>
      <w:r w:rsidRPr="006D02FE">
        <w:rPr>
          <w:b/>
        </w:rPr>
        <w:t>: Realizacija mjera u periodu 1.1.-30.6.2021.godine</w:t>
      </w:r>
    </w:p>
    <w:p w:rsidR="00E1433B" w:rsidRPr="006D02FE" w:rsidRDefault="00E1433B" w:rsidP="00E1433B">
      <w:pPr>
        <w:jc w:val="center"/>
        <w:rPr>
          <w:b/>
        </w:rPr>
      </w:pPr>
    </w:p>
    <w:p w:rsidR="00E1433B" w:rsidRPr="00E87AA9" w:rsidRDefault="00E1433B" w:rsidP="00E1433B">
      <w:pPr>
        <w:jc w:val="both"/>
        <w:rPr>
          <w:rFonts w:cstheme="minorHAnsi"/>
        </w:rPr>
      </w:pPr>
      <w:r w:rsidRPr="00E87AA9">
        <w:rPr>
          <w:rFonts w:cstheme="minorHAnsi"/>
        </w:rPr>
        <w:t>Kako bi unaprijedili, između ostalog i kvalitet</w:t>
      </w:r>
      <w:r>
        <w:rPr>
          <w:rFonts w:cstheme="minorHAnsi"/>
        </w:rPr>
        <w:t>u</w:t>
      </w:r>
      <w:r w:rsidRPr="00E87AA9">
        <w:rPr>
          <w:rFonts w:cstheme="minorHAnsi"/>
        </w:rPr>
        <w:t xml:space="preserve"> života u zajednici, vijećnici </w:t>
      </w:r>
      <w:r>
        <w:rPr>
          <w:rFonts w:cstheme="minorHAnsi"/>
        </w:rPr>
        <w:t>u skladu sa Poslovnikom</w:t>
      </w:r>
      <w:r w:rsidRPr="00E87AA9">
        <w:rPr>
          <w:rFonts w:cstheme="minorHAnsi"/>
        </w:rPr>
        <w:t xml:space="preserve"> o radu </w:t>
      </w:r>
      <w:r>
        <w:rPr>
          <w:rFonts w:cstheme="minorHAnsi"/>
        </w:rPr>
        <w:t xml:space="preserve">Općinskog </w:t>
      </w:r>
      <w:r w:rsidRPr="00E87AA9">
        <w:rPr>
          <w:rFonts w:cstheme="minorHAnsi"/>
        </w:rPr>
        <w:t>vijeća</w:t>
      </w:r>
      <w:r>
        <w:rPr>
          <w:rFonts w:cstheme="minorHAnsi"/>
        </w:rPr>
        <w:t>,</w:t>
      </w:r>
      <w:r w:rsidRPr="00E87AA9">
        <w:rPr>
          <w:rFonts w:cstheme="minorHAnsi"/>
        </w:rPr>
        <w:t xml:space="preserve"> mogu postavljati vijećnička pitanja i </w:t>
      </w:r>
      <w:r w:rsidR="00D04B0E">
        <w:rPr>
          <w:rFonts w:cstheme="minorHAnsi"/>
        </w:rPr>
        <w:t xml:space="preserve">predlagati </w:t>
      </w:r>
      <w:r w:rsidRPr="00E87AA9">
        <w:rPr>
          <w:rFonts w:cstheme="minorHAnsi"/>
        </w:rPr>
        <w:t>inicijative.</w:t>
      </w:r>
      <w:r w:rsidR="00D04B0E">
        <w:rPr>
          <w:rFonts w:cstheme="minorHAnsi"/>
        </w:rPr>
        <w:t xml:space="preserve"> </w:t>
      </w:r>
      <w:r w:rsidR="0036033E">
        <w:rPr>
          <w:rFonts w:cstheme="minorHAnsi"/>
        </w:rPr>
        <w:t xml:space="preserve">Na pet redovnih sjednica OV  vijećnici su  postavili </w:t>
      </w:r>
      <w:r w:rsidR="00D04B0E">
        <w:rPr>
          <w:rFonts w:cstheme="minorHAnsi"/>
        </w:rPr>
        <w:t xml:space="preserve"> 35 pitanja</w:t>
      </w:r>
      <w:r w:rsidR="0036033E">
        <w:rPr>
          <w:rFonts w:cstheme="minorHAnsi"/>
        </w:rPr>
        <w:t xml:space="preserve"> i </w:t>
      </w:r>
      <w:r w:rsidR="00D04B0E">
        <w:rPr>
          <w:rFonts w:cstheme="minorHAnsi"/>
        </w:rPr>
        <w:t xml:space="preserve"> </w:t>
      </w:r>
      <w:r w:rsidR="0036033E">
        <w:rPr>
          <w:rFonts w:cstheme="minorHAnsi"/>
        </w:rPr>
        <w:t>podnijeli</w:t>
      </w:r>
      <w:r w:rsidR="00D04B0E">
        <w:rPr>
          <w:rFonts w:cstheme="minorHAnsi"/>
        </w:rPr>
        <w:t xml:space="preserve"> 25 inicijativa. </w:t>
      </w:r>
    </w:p>
    <w:p w:rsidR="00E1433B" w:rsidRDefault="00E1433B" w:rsidP="00E1433B">
      <w:pPr>
        <w:jc w:val="center"/>
        <w:rPr>
          <w:b/>
        </w:rPr>
      </w:pPr>
    </w:p>
    <w:p w:rsidR="00E1433B" w:rsidRDefault="00E1433B" w:rsidP="00E1433B">
      <w:pPr>
        <w:rPr>
          <w:b/>
          <w:sz w:val="18"/>
          <w:szCs w:val="18"/>
        </w:rPr>
      </w:pPr>
    </w:p>
    <w:p w:rsidR="00E1433B" w:rsidRPr="00A42872" w:rsidRDefault="00E1433B" w:rsidP="00E1433B">
      <w:pPr>
        <w:pStyle w:val="Naslov1"/>
        <w:shd w:val="clear" w:color="auto" w:fill="0F243E"/>
        <w:spacing w:before="0" w:line="240" w:lineRule="auto"/>
        <w:jc w:val="center"/>
        <w:rPr>
          <w:rFonts w:asciiTheme="minorHAnsi" w:hAnsiTheme="minorHAnsi" w:cstheme="minorHAnsi"/>
          <w:color w:val="FFFFFF"/>
          <w:sz w:val="24"/>
          <w:szCs w:val="24"/>
        </w:rPr>
      </w:pPr>
      <w:bookmarkStart w:id="2" w:name="_Toc76047729"/>
      <w:r w:rsidRPr="00A42872">
        <w:rPr>
          <w:rFonts w:asciiTheme="minorHAnsi" w:hAnsiTheme="minorHAnsi" w:cstheme="minorHAnsi"/>
          <w:color w:val="FFFFFF"/>
          <w:sz w:val="24"/>
          <w:szCs w:val="24"/>
        </w:rPr>
        <w:t>KLJUČNI DOKUMENTI ZA FUNKCIONIRANJE LOKALNE VLASTI</w:t>
      </w:r>
      <w:bookmarkEnd w:id="2"/>
    </w:p>
    <w:p w:rsidR="00E1433B" w:rsidRPr="00A42872" w:rsidRDefault="00E1433B" w:rsidP="00E1433B">
      <w:pPr>
        <w:rPr>
          <w:rFonts w:cstheme="minorHAnsi"/>
          <w:b/>
          <w:sz w:val="18"/>
          <w:szCs w:val="18"/>
        </w:rPr>
      </w:pPr>
    </w:p>
    <w:p w:rsidR="00E1433B" w:rsidRPr="00A42872" w:rsidRDefault="00E1433B" w:rsidP="00E1433B">
      <w:pPr>
        <w:jc w:val="both"/>
        <w:rPr>
          <w:rFonts w:cstheme="minorHAnsi"/>
        </w:rPr>
      </w:pPr>
      <w:r w:rsidRPr="00A42872">
        <w:rPr>
          <w:rFonts w:cstheme="minorHAnsi"/>
        </w:rPr>
        <w:t xml:space="preserve">Za uspješno planiranje, provođenje i praćenje politika na svim </w:t>
      </w:r>
      <w:r>
        <w:rPr>
          <w:rFonts w:cstheme="minorHAnsi"/>
        </w:rPr>
        <w:t>nivoima</w:t>
      </w:r>
      <w:r w:rsidRPr="00A42872">
        <w:rPr>
          <w:rFonts w:cstheme="minorHAnsi"/>
        </w:rPr>
        <w:t xml:space="preserve"> vlasti potrebno je blagovremeno pri</w:t>
      </w:r>
      <w:r>
        <w:rPr>
          <w:rFonts w:cstheme="minorHAnsi"/>
        </w:rPr>
        <w:t>s</w:t>
      </w:r>
      <w:r w:rsidRPr="00A42872">
        <w:rPr>
          <w:rFonts w:cstheme="minorHAnsi"/>
        </w:rPr>
        <w:t>tupiti izradi i usvajanju ključnih dokumenata. Pri tomu je vrlo bitno pratiti zakono</w:t>
      </w:r>
      <w:r>
        <w:rPr>
          <w:rFonts w:cstheme="minorHAnsi"/>
        </w:rPr>
        <w:t>d</w:t>
      </w:r>
      <w:r w:rsidRPr="00A42872">
        <w:rPr>
          <w:rFonts w:cstheme="minorHAnsi"/>
        </w:rPr>
        <w:t xml:space="preserve">avnu proceduru te dokumente prilagoditi objektivnim mogućnostima kako bi isti bili realizirani u realnim rokovima. Dokumenti ključni za funkcionalan i nesmetan rad institucija svih </w:t>
      </w:r>
      <w:r>
        <w:rPr>
          <w:rFonts w:cstheme="minorHAnsi"/>
        </w:rPr>
        <w:t>nivoa</w:t>
      </w:r>
      <w:r w:rsidRPr="00A42872">
        <w:rPr>
          <w:rFonts w:cstheme="minorHAnsi"/>
        </w:rPr>
        <w:t xml:space="preserve"> vlasti pa samim time i lokalne su Program rada i </w:t>
      </w:r>
      <w:r>
        <w:rPr>
          <w:rFonts w:cstheme="minorHAnsi"/>
        </w:rPr>
        <w:t>Budžet</w:t>
      </w:r>
      <w:r w:rsidRPr="00A42872">
        <w:rPr>
          <w:rFonts w:cstheme="minorHAnsi"/>
        </w:rPr>
        <w:t xml:space="preserve"> za tekuću godinu. Isti moraju biti usvojeni </w:t>
      </w:r>
      <w:r>
        <w:rPr>
          <w:rFonts w:cstheme="minorHAnsi"/>
        </w:rPr>
        <w:t>u skladu sa poslovnikom</w:t>
      </w:r>
      <w:r w:rsidRPr="00A42872">
        <w:rPr>
          <w:rFonts w:cstheme="minorHAnsi"/>
        </w:rPr>
        <w:t xml:space="preserve"> o radu jedinice lokalne samouprave i zakonima koji tretiraju određenu oblast.</w:t>
      </w:r>
    </w:p>
    <w:p w:rsidR="00E1433B" w:rsidRPr="00A42872" w:rsidRDefault="00E1433B" w:rsidP="00E1433B">
      <w:pPr>
        <w:jc w:val="both"/>
        <w:rPr>
          <w:rFonts w:cstheme="minorHAnsi"/>
        </w:rPr>
      </w:pPr>
      <w:r w:rsidRPr="00A42872">
        <w:rPr>
          <w:rFonts w:cstheme="minorHAnsi"/>
        </w:rPr>
        <w:t>Kako bi jedinica lokalne samouprave težila pob</w:t>
      </w:r>
      <w:r>
        <w:rPr>
          <w:rFonts w:cstheme="minorHAnsi"/>
        </w:rPr>
        <w:t>o</w:t>
      </w:r>
      <w:r w:rsidRPr="00A42872">
        <w:rPr>
          <w:rFonts w:cstheme="minorHAnsi"/>
        </w:rPr>
        <w:t xml:space="preserve">ljšanju kvalitete života svojih građana vrlo je važno da veliku pozornost obraća i strateškim dokumentima iz svoje </w:t>
      </w:r>
      <w:r>
        <w:rPr>
          <w:rFonts w:cstheme="minorHAnsi"/>
        </w:rPr>
        <w:t>nadležnosti</w:t>
      </w:r>
      <w:r w:rsidRPr="00A42872">
        <w:rPr>
          <w:rFonts w:cstheme="minorHAnsi"/>
        </w:rPr>
        <w:t>. Tu spadaju Strategije i Akcioni planovi koji potiču daljnji razvoj određenih oblasti te utvrđuju prioritete u ekonomskim, društvenim i drugim oblastima. Strategije su alat za upravljanje razvojem jer predstavljaju temelj za donošenje odluka i osiguranje potrebnih resursa za provođenje mjera iz oblasti javnih investicija tj. ekonomskog, socijalnog razvoja.</w:t>
      </w:r>
    </w:p>
    <w:p w:rsidR="00E1433B" w:rsidRDefault="00E1433B" w:rsidP="00E1433B">
      <w:pPr>
        <w:jc w:val="both"/>
        <w:rPr>
          <w:rFonts w:cstheme="minorHAnsi"/>
        </w:rPr>
      </w:pPr>
      <w:r w:rsidRPr="00A42872">
        <w:rPr>
          <w:rFonts w:cstheme="minorHAnsi"/>
        </w:rPr>
        <w:t>Akcionim planom se definiraju mjere, programi, projekti i aktivnosti u implementaciji strateških dokumenata, njihov financijski okvir i izvori financiranja. Uloga Akcionog plana je između ostalog i sinergija utvrđenih prioriteta sa godišnjim programom rada i proračunom.</w:t>
      </w:r>
    </w:p>
    <w:p w:rsidR="00E1433B" w:rsidRDefault="00E1433B" w:rsidP="00E1433B">
      <w:pPr>
        <w:jc w:val="both"/>
        <w:rPr>
          <w:rFonts w:cstheme="minorHAnsi"/>
          <w:b/>
        </w:rPr>
      </w:pPr>
      <w:r w:rsidRPr="00A42872">
        <w:rPr>
          <w:rFonts w:cstheme="minorHAnsi"/>
          <w:b/>
        </w:rPr>
        <w:t xml:space="preserve">PROGRAM RADA </w:t>
      </w:r>
      <w:r>
        <w:rPr>
          <w:rFonts w:cstheme="minorHAnsi"/>
          <w:b/>
        </w:rPr>
        <w:t xml:space="preserve">OPĆINSKOG VIJEĆA </w:t>
      </w:r>
      <w:r w:rsidR="0040669C">
        <w:rPr>
          <w:rFonts w:cstheme="minorHAnsi"/>
          <w:b/>
        </w:rPr>
        <w:t>ZAVIDOVIĆI</w:t>
      </w:r>
      <w:r>
        <w:rPr>
          <w:rFonts w:cstheme="minorHAnsi"/>
          <w:b/>
        </w:rPr>
        <w:t xml:space="preserve">  –usvajanje i reaalizacija</w:t>
      </w:r>
    </w:p>
    <w:p w:rsidR="00815448" w:rsidRDefault="00E1433B" w:rsidP="00E1433B">
      <w:pPr>
        <w:jc w:val="both"/>
      </w:pPr>
      <w:r>
        <w:t xml:space="preserve">Godišnji program rada Općinskog vijeća je jedan od ključnih dokumenata kojim se definiraju smjernice za njegov rad i potiče učinkovitost, mjerljivost i transparentnost tog rada. Poslovnikom o radu Općinskog vijeća </w:t>
      </w:r>
      <w:r w:rsidR="00815448">
        <w:t xml:space="preserve">Zavidovići </w:t>
      </w:r>
      <w:r>
        <w:t>nije definisan tačan rok za usvajanje godišnjeg Programa rada</w:t>
      </w:r>
      <w:r w:rsidR="00815448">
        <w:t>, a donosi se na temelju Člana 54. Poslovnika o radu OV.</w:t>
      </w:r>
    </w:p>
    <w:p w:rsidR="00E1433B" w:rsidRDefault="00E1433B" w:rsidP="00E1433B">
      <w:pPr>
        <w:jc w:val="both"/>
      </w:pPr>
      <w:r>
        <w:t xml:space="preserve">Program rada Općinskog vijeća </w:t>
      </w:r>
      <w:r w:rsidR="00815448">
        <w:t xml:space="preserve">Zavidovići </w:t>
      </w:r>
      <w:r>
        <w:t xml:space="preserve"> za 2021.godinu usvojen je na </w:t>
      </w:r>
      <w:r w:rsidR="00815448">
        <w:t>2</w:t>
      </w:r>
      <w:r>
        <w:t xml:space="preserve">. sjednici Općinskog vijeća održanoj </w:t>
      </w:r>
      <w:r w:rsidR="00815448">
        <w:t>26. februara</w:t>
      </w:r>
      <w:r>
        <w:t xml:space="preserve"> 2021.godine.  Programom rada planirano je </w:t>
      </w:r>
      <w:r w:rsidR="00815448">
        <w:t>101</w:t>
      </w:r>
      <w:r>
        <w:t xml:space="preserve"> mjera od čega </w:t>
      </w:r>
      <w:r w:rsidR="00815448">
        <w:t>su 60 odluka, izvještaja 29, Planova i programa 9, informacija 6 i 5 ostalih mjera. Dinamika realizacije mjera iz Programa podijeljena je u tri cjeline, Januar-april, Maj-juli i Septembar-decembar.</w:t>
      </w:r>
    </w:p>
    <w:p w:rsidR="00E1433B" w:rsidRDefault="00815448" w:rsidP="00E1433B">
      <w:pPr>
        <w:jc w:val="both"/>
      </w:pPr>
      <w:r>
        <w:t>Za većinu mjera predlagači su  općinski načelnik i nadležne općinske Službe.</w:t>
      </w:r>
    </w:p>
    <w:p w:rsidR="00E1433B" w:rsidRDefault="00E1433B" w:rsidP="00E1433B">
      <w:pPr>
        <w:jc w:val="both"/>
      </w:pPr>
    </w:p>
    <w:tbl>
      <w:tblPr>
        <w:tblStyle w:val="GridTable4Accent1"/>
        <w:tblW w:w="0" w:type="auto"/>
        <w:jc w:val="center"/>
        <w:tblInd w:w="-1453" w:type="dxa"/>
        <w:tblLook w:val="04A0"/>
      </w:tblPr>
      <w:tblGrid>
        <w:gridCol w:w="3265"/>
        <w:gridCol w:w="5289"/>
      </w:tblGrid>
      <w:tr w:rsidR="00E1433B" w:rsidTr="00EE6C98">
        <w:trPr>
          <w:cnfStyle w:val="100000000000"/>
          <w:jc w:val="center"/>
        </w:trPr>
        <w:tc>
          <w:tcPr>
            <w:cnfStyle w:val="001000000000"/>
            <w:tcW w:w="3265" w:type="dxa"/>
          </w:tcPr>
          <w:p w:rsidR="00E1433B" w:rsidRPr="00740357" w:rsidRDefault="00E1433B" w:rsidP="00A402C3">
            <w:pPr>
              <w:jc w:val="center"/>
            </w:pPr>
            <w:r w:rsidRPr="00740357">
              <w:t xml:space="preserve">Mjere </w:t>
            </w:r>
            <w:r>
              <w:t>–</w:t>
            </w:r>
            <w:r w:rsidRPr="00740357">
              <w:t xml:space="preserve"> tipovi</w:t>
            </w:r>
          </w:p>
        </w:tc>
        <w:tc>
          <w:tcPr>
            <w:tcW w:w="5289" w:type="dxa"/>
          </w:tcPr>
          <w:p w:rsidR="00E1433B" w:rsidRPr="00740357" w:rsidRDefault="00E1433B" w:rsidP="0079382E">
            <w:pPr>
              <w:jc w:val="center"/>
              <w:cnfStyle w:val="100000000000"/>
            </w:pPr>
            <w:r>
              <w:t xml:space="preserve"> </w:t>
            </w:r>
            <w:r w:rsidRPr="00740357">
              <w:t xml:space="preserve"> Prog</w:t>
            </w:r>
            <w:r>
              <w:t>ramsk</w:t>
            </w:r>
            <w:r w:rsidR="0079382E">
              <w:t>e mjere</w:t>
            </w:r>
            <w:r>
              <w:t xml:space="preserve"> /broj</w:t>
            </w:r>
          </w:p>
        </w:tc>
      </w:tr>
      <w:tr w:rsidR="00E1433B" w:rsidTr="00EE6C98">
        <w:trPr>
          <w:cnfStyle w:val="000000100000"/>
          <w:jc w:val="center"/>
        </w:trPr>
        <w:tc>
          <w:tcPr>
            <w:cnfStyle w:val="001000000000"/>
            <w:tcW w:w="3265" w:type="dxa"/>
          </w:tcPr>
          <w:p w:rsidR="00E1433B" w:rsidRPr="00740357" w:rsidRDefault="00E1433B" w:rsidP="00A402C3">
            <w:pPr>
              <w:jc w:val="center"/>
            </w:pPr>
            <w:r>
              <w:t>Izvještaj</w:t>
            </w:r>
          </w:p>
        </w:tc>
        <w:tc>
          <w:tcPr>
            <w:tcW w:w="5289" w:type="dxa"/>
          </w:tcPr>
          <w:p w:rsidR="00E1433B" w:rsidRPr="00740357" w:rsidRDefault="00815448" w:rsidP="00A402C3">
            <w:pPr>
              <w:jc w:val="center"/>
              <w:cnfStyle w:val="000000100000"/>
            </w:pPr>
            <w:r>
              <w:t>29</w:t>
            </w:r>
          </w:p>
        </w:tc>
      </w:tr>
      <w:tr w:rsidR="00E1433B" w:rsidTr="00EE6C98">
        <w:trPr>
          <w:jc w:val="center"/>
        </w:trPr>
        <w:tc>
          <w:tcPr>
            <w:cnfStyle w:val="001000000000"/>
            <w:tcW w:w="3265" w:type="dxa"/>
          </w:tcPr>
          <w:p w:rsidR="00E1433B" w:rsidRPr="00740357" w:rsidRDefault="00E1433B" w:rsidP="00A402C3">
            <w:pPr>
              <w:jc w:val="center"/>
            </w:pPr>
            <w:r>
              <w:t>Odluka</w:t>
            </w:r>
          </w:p>
        </w:tc>
        <w:tc>
          <w:tcPr>
            <w:tcW w:w="5289" w:type="dxa"/>
          </w:tcPr>
          <w:p w:rsidR="00E1433B" w:rsidRPr="00740357" w:rsidRDefault="00815448" w:rsidP="00A402C3">
            <w:pPr>
              <w:jc w:val="center"/>
              <w:cnfStyle w:val="000000000000"/>
            </w:pPr>
            <w:r>
              <w:t>60</w:t>
            </w:r>
          </w:p>
        </w:tc>
      </w:tr>
      <w:tr w:rsidR="00E1433B" w:rsidTr="00EE6C98">
        <w:trPr>
          <w:cnfStyle w:val="000000100000"/>
          <w:jc w:val="center"/>
        </w:trPr>
        <w:tc>
          <w:tcPr>
            <w:cnfStyle w:val="001000000000"/>
            <w:tcW w:w="3265" w:type="dxa"/>
          </w:tcPr>
          <w:p w:rsidR="00E1433B" w:rsidRPr="00740357" w:rsidRDefault="00815448" w:rsidP="00A402C3">
            <w:pPr>
              <w:jc w:val="center"/>
            </w:pPr>
            <w:r>
              <w:t>Informacije</w:t>
            </w:r>
          </w:p>
        </w:tc>
        <w:tc>
          <w:tcPr>
            <w:tcW w:w="5289" w:type="dxa"/>
          </w:tcPr>
          <w:p w:rsidR="00E1433B" w:rsidRPr="00740357" w:rsidRDefault="00815448" w:rsidP="00A402C3">
            <w:pPr>
              <w:jc w:val="center"/>
              <w:cnfStyle w:val="000000100000"/>
            </w:pPr>
            <w:r>
              <w:t>6</w:t>
            </w:r>
          </w:p>
        </w:tc>
      </w:tr>
      <w:tr w:rsidR="00E1433B" w:rsidTr="00EE6C98">
        <w:trPr>
          <w:jc w:val="center"/>
        </w:trPr>
        <w:tc>
          <w:tcPr>
            <w:cnfStyle w:val="001000000000"/>
            <w:tcW w:w="3265" w:type="dxa"/>
          </w:tcPr>
          <w:p w:rsidR="00E1433B" w:rsidRPr="00740357" w:rsidRDefault="00815448" w:rsidP="00A402C3">
            <w:pPr>
              <w:jc w:val="center"/>
            </w:pPr>
            <w:r>
              <w:t>Plan i program</w:t>
            </w:r>
          </w:p>
        </w:tc>
        <w:tc>
          <w:tcPr>
            <w:tcW w:w="5289" w:type="dxa"/>
          </w:tcPr>
          <w:p w:rsidR="00E1433B" w:rsidRPr="00740357" w:rsidRDefault="00815448" w:rsidP="00A402C3">
            <w:pPr>
              <w:jc w:val="center"/>
              <w:cnfStyle w:val="000000000000"/>
            </w:pPr>
            <w:r>
              <w:t>9</w:t>
            </w:r>
          </w:p>
        </w:tc>
      </w:tr>
      <w:tr w:rsidR="00E1433B" w:rsidTr="00EE6C98">
        <w:trPr>
          <w:cnfStyle w:val="000000100000"/>
          <w:jc w:val="center"/>
        </w:trPr>
        <w:tc>
          <w:tcPr>
            <w:cnfStyle w:val="001000000000"/>
            <w:tcW w:w="3265" w:type="dxa"/>
          </w:tcPr>
          <w:p w:rsidR="00E1433B" w:rsidRPr="00740357" w:rsidRDefault="00815448" w:rsidP="00A402C3">
            <w:pPr>
              <w:jc w:val="center"/>
            </w:pPr>
            <w:r>
              <w:t>Ostale mjere</w:t>
            </w:r>
          </w:p>
        </w:tc>
        <w:tc>
          <w:tcPr>
            <w:tcW w:w="5289" w:type="dxa"/>
          </w:tcPr>
          <w:p w:rsidR="00E1433B" w:rsidRPr="00740357" w:rsidRDefault="0079382E" w:rsidP="00A402C3">
            <w:pPr>
              <w:jc w:val="center"/>
              <w:cnfStyle w:val="000000100000"/>
            </w:pPr>
            <w:r>
              <w:t>5</w:t>
            </w:r>
          </w:p>
        </w:tc>
      </w:tr>
      <w:tr w:rsidR="00E1433B" w:rsidTr="00EE6C98">
        <w:trPr>
          <w:jc w:val="center"/>
        </w:trPr>
        <w:tc>
          <w:tcPr>
            <w:cnfStyle w:val="001000000000"/>
            <w:tcW w:w="3265" w:type="dxa"/>
          </w:tcPr>
          <w:p w:rsidR="00E1433B" w:rsidRPr="00740357" w:rsidRDefault="00E1433B" w:rsidP="00A402C3">
            <w:pPr>
              <w:jc w:val="center"/>
            </w:pPr>
          </w:p>
        </w:tc>
        <w:tc>
          <w:tcPr>
            <w:tcW w:w="5289" w:type="dxa"/>
          </w:tcPr>
          <w:p w:rsidR="00E1433B" w:rsidRPr="00740357" w:rsidRDefault="00E1433B" w:rsidP="00A402C3">
            <w:pPr>
              <w:jc w:val="center"/>
              <w:cnfStyle w:val="000000000000"/>
            </w:pPr>
          </w:p>
        </w:tc>
      </w:tr>
      <w:tr w:rsidR="00E1433B" w:rsidTr="00EE6C98">
        <w:trPr>
          <w:cnfStyle w:val="000000100000"/>
          <w:jc w:val="center"/>
        </w:trPr>
        <w:tc>
          <w:tcPr>
            <w:cnfStyle w:val="001000000000"/>
            <w:tcW w:w="3265" w:type="dxa"/>
          </w:tcPr>
          <w:p w:rsidR="00E1433B" w:rsidRPr="00740357" w:rsidRDefault="00E1433B" w:rsidP="00A402C3">
            <w:pPr>
              <w:jc w:val="center"/>
            </w:pPr>
            <w:r>
              <w:t>Ukupno:</w:t>
            </w:r>
          </w:p>
        </w:tc>
        <w:tc>
          <w:tcPr>
            <w:tcW w:w="5289" w:type="dxa"/>
          </w:tcPr>
          <w:p w:rsidR="00E1433B" w:rsidRPr="00740357" w:rsidRDefault="00815448" w:rsidP="00A402C3">
            <w:pPr>
              <w:jc w:val="center"/>
              <w:cnfStyle w:val="000000100000"/>
            </w:pPr>
            <w:r>
              <w:t>101</w:t>
            </w:r>
          </w:p>
        </w:tc>
      </w:tr>
    </w:tbl>
    <w:p w:rsidR="00E1433B" w:rsidRDefault="00E1433B" w:rsidP="00E1433B">
      <w:pPr>
        <w:tabs>
          <w:tab w:val="left" w:pos="5018"/>
        </w:tabs>
        <w:jc w:val="center"/>
        <w:rPr>
          <w:b/>
        </w:rPr>
      </w:pPr>
    </w:p>
    <w:p w:rsidR="00E1433B" w:rsidRDefault="00E1433B" w:rsidP="00E1433B">
      <w:pPr>
        <w:tabs>
          <w:tab w:val="left" w:pos="5018"/>
        </w:tabs>
        <w:jc w:val="center"/>
        <w:rPr>
          <w:b/>
        </w:rPr>
      </w:pPr>
      <w:r>
        <w:rPr>
          <w:b/>
        </w:rPr>
        <w:t>Tabela 4</w:t>
      </w:r>
      <w:r w:rsidRPr="00121164">
        <w:rPr>
          <w:b/>
        </w:rPr>
        <w:t>:</w:t>
      </w:r>
      <w:r w:rsidR="0079382E">
        <w:rPr>
          <w:b/>
        </w:rPr>
        <w:t xml:space="preserve"> Broj i struktura planiranih </w:t>
      </w:r>
      <w:r w:rsidRPr="00121164">
        <w:rPr>
          <w:b/>
        </w:rPr>
        <w:t xml:space="preserve"> programskih mjera</w:t>
      </w:r>
    </w:p>
    <w:p w:rsidR="00E1433B" w:rsidRDefault="00E1433B" w:rsidP="00BD0932">
      <w:pPr>
        <w:tabs>
          <w:tab w:val="left" w:pos="5018"/>
        </w:tabs>
        <w:jc w:val="both"/>
        <w:rPr>
          <w:b/>
        </w:rPr>
      </w:pPr>
    </w:p>
    <w:p w:rsidR="0079382E" w:rsidRPr="00BD0932" w:rsidRDefault="0079382E" w:rsidP="00BD0932">
      <w:pPr>
        <w:tabs>
          <w:tab w:val="left" w:pos="5018"/>
        </w:tabs>
        <w:jc w:val="both"/>
      </w:pPr>
      <w:r w:rsidRPr="00BD0932">
        <w:t>Što se tiče realizacije mjera iz Programa rada OV za 2021.godinu u prvoj polovini godine</w:t>
      </w:r>
      <w:r w:rsidR="00BD0932">
        <w:t xml:space="preserve"> u ovom mandatu Općinsko vijeće je bilo efikasno i usvojilo sve planirane mjere. Od značajnijih mjera koje je vijeće usvojilo u ovom periodu istaknuli bi : Program rada</w:t>
      </w:r>
      <w:r w:rsidR="00EE6C98">
        <w:t>OV</w:t>
      </w:r>
      <w:r w:rsidR="00BD0932">
        <w:t xml:space="preserve"> za 2021.godinu, kao i Program rada načelnika –primilo k znanju, Prijedlog plana kapitalnih investicija Općine Zavidovići za period 2021.-2025., Akcioni plan implementacije Strategije integriranog razvoja Općine Zavidovići za period 2017.-2026. za 2021 godinu,  Plan i program rekonstrukcije i održavanja lokalnih cesta za 2021.g , više izvještaja idr.</w:t>
      </w:r>
      <w:r w:rsidRPr="00BD0932">
        <w:t xml:space="preserve"> </w:t>
      </w:r>
      <w:r w:rsidR="00EE6C98">
        <w:t>Općinsko vijeće nije usvojilo Budžet</w:t>
      </w:r>
      <w:r w:rsidR="00BD06B8">
        <w:t xml:space="preserve"> za 2021.godinu, iz razloga što u Poslovniku o radu nije predviđen način rada u uslovima epidemije, nego je općinski načelnik proglasio Budžet za 2021.godinu 01.04.2021.</w:t>
      </w:r>
      <w:r w:rsidR="00EE6C98">
        <w:t xml:space="preserve"> </w:t>
      </w:r>
      <w:r w:rsidR="00BD06B8">
        <w:t xml:space="preserve"> </w:t>
      </w:r>
    </w:p>
    <w:p w:rsidR="00E1433B" w:rsidRDefault="00E1433B" w:rsidP="00E1433B">
      <w:pPr>
        <w:rPr>
          <w:rFonts w:cstheme="minorHAnsi"/>
          <w:b/>
        </w:rPr>
      </w:pPr>
      <w:r w:rsidRPr="00803B9F">
        <w:rPr>
          <w:rFonts w:cstheme="minorHAnsi"/>
          <w:b/>
        </w:rPr>
        <w:t xml:space="preserve">TROŠENJE JAVNOG NOVCA - OSVRT NA </w:t>
      </w:r>
      <w:r w:rsidR="00EE6C98">
        <w:rPr>
          <w:rFonts w:cstheme="minorHAnsi"/>
          <w:b/>
        </w:rPr>
        <w:t>BUDŽET ZA 2021.G</w:t>
      </w:r>
    </w:p>
    <w:p w:rsidR="00673AA7" w:rsidRDefault="00673AA7" w:rsidP="00E1433B">
      <w:pPr>
        <w:jc w:val="both"/>
        <w:rPr>
          <w:rFonts w:cstheme="minorHAnsi"/>
        </w:rPr>
      </w:pPr>
      <w:r>
        <w:rPr>
          <w:rFonts w:cstheme="minorHAnsi"/>
        </w:rPr>
        <w:t>Budžet općine Zavidovići po prvi put je proglasio načelnik općine u zakonskom roku, na dan 01.04.2021.godine. Iako je na drugoj sjednici OV , održanoj 25.01.2021., usvojen Nacrt Budžeta za 2021.godinu</w:t>
      </w:r>
      <w:r w:rsidR="00C3503F">
        <w:rPr>
          <w:rFonts w:cstheme="minorHAnsi"/>
        </w:rPr>
        <w:t xml:space="preserve">. OV  nije zasjedalo tokom pandemije sve do kraja maja, te nije donesen Budžet za 2021.godini u zakonskom roku. </w:t>
      </w:r>
      <w:r w:rsidR="00C3503F">
        <w:t xml:space="preserve">Zbog problema izazvanih pandemijom korona virusa na trećoj sjednici OV je donijelo dopunu Poslovnika o radu OV u kojem se definira kada se OV može sastati u slučaju pandemije, epidemije isl. , tako da su se otklonile prepreke za budući rad u vanrednim okolnostima, epidemija ili pandemije. </w:t>
      </w:r>
      <w:r>
        <w:rPr>
          <w:rFonts w:cstheme="minorHAnsi"/>
        </w:rPr>
        <w:t xml:space="preserve"> </w:t>
      </w:r>
    </w:p>
    <w:p w:rsidR="00E1433B" w:rsidRDefault="00E1433B" w:rsidP="00E1433B">
      <w:pPr>
        <w:jc w:val="both"/>
        <w:rPr>
          <w:rFonts w:cstheme="minorHAnsi"/>
          <w:shd w:val="clear" w:color="auto" w:fill="FFFFFF"/>
        </w:rPr>
      </w:pPr>
      <w:r>
        <w:rPr>
          <w:rFonts w:cstheme="minorHAnsi"/>
          <w:shd w:val="clear" w:color="auto" w:fill="FFFFFF"/>
        </w:rPr>
        <w:t>Budžet</w:t>
      </w:r>
      <w:r w:rsidRPr="00E87AA9">
        <w:rPr>
          <w:rFonts w:cstheme="minorHAnsi"/>
          <w:shd w:val="clear" w:color="auto" w:fill="FFFFFF"/>
        </w:rPr>
        <w:t xml:space="preserve"> je usvojen u iznosu od </w:t>
      </w:r>
      <w:r w:rsidR="00C3503F">
        <w:rPr>
          <w:rFonts w:cstheme="minorHAnsi"/>
          <w:shd w:val="clear" w:color="auto" w:fill="FFFFFF"/>
        </w:rPr>
        <w:t>12.361.</w:t>
      </w:r>
      <w:r w:rsidR="0071724B">
        <w:rPr>
          <w:rFonts w:cstheme="minorHAnsi"/>
          <w:shd w:val="clear" w:color="auto" w:fill="FFFFFF"/>
        </w:rPr>
        <w:t>399,00</w:t>
      </w:r>
      <w:r w:rsidRPr="00E87AA9">
        <w:rPr>
          <w:rFonts w:cstheme="minorHAnsi"/>
          <w:shd w:val="clear" w:color="auto" w:fill="FFFFFF"/>
        </w:rPr>
        <w:t xml:space="preserve"> KM i u odnosu na 2020.godinu </w:t>
      </w:r>
      <w:r w:rsidR="0071724B">
        <w:rPr>
          <w:rFonts w:cstheme="minorHAnsi"/>
          <w:shd w:val="clear" w:color="auto" w:fill="FFFFFF"/>
        </w:rPr>
        <w:t>je gotovo identičan.</w:t>
      </w:r>
    </w:p>
    <w:p w:rsidR="0056701C" w:rsidRPr="00E87AA9" w:rsidRDefault="0056701C" w:rsidP="00E1433B">
      <w:pPr>
        <w:jc w:val="both"/>
        <w:rPr>
          <w:rFonts w:cstheme="minorHAnsi"/>
        </w:rPr>
      </w:pPr>
    </w:p>
    <w:tbl>
      <w:tblPr>
        <w:tblStyle w:val="GridTable4Accent1"/>
        <w:tblW w:w="0" w:type="auto"/>
        <w:tblLook w:val="04A0"/>
      </w:tblPr>
      <w:tblGrid>
        <w:gridCol w:w="4531"/>
        <w:gridCol w:w="4531"/>
      </w:tblGrid>
      <w:tr w:rsidR="00E1433B" w:rsidRPr="00121164" w:rsidTr="00A402C3">
        <w:trPr>
          <w:cnfStyle w:val="100000000000"/>
        </w:trPr>
        <w:tc>
          <w:tcPr>
            <w:cnfStyle w:val="001000000000"/>
            <w:tcW w:w="4531" w:type="dxa"/>
          </w:tcPr>
          <w:p w:rsidR="00E1433B" w:rsidRPr="00121164" w:rsidRDefault="00E1433B" w:rsidP="00A402C3">
            <w:pPr>
              <w:jc w:val="center"/>
              <w:rPr>
                <w:rFonts w:cstheme="minorHAnsi"/>
                <w:b w:val="0"/>
              </w:rPr>
            </w:pPr>
            <w:r w:rsidRPr="00121164">
              <w:rPr>
                <w:rFonts w:cstheme="minorHAnsi"/>
                <w:b w:val="0"/>
              </w:rPr>
              <w:t>Vrsta prihoda</w:t>
            </w:r>
          </w:p>
        </w:tc>
        <w:tc>
          <w:tcPr>
            <w:tcW w:w="4531" w:type="dxa"/>
          </w:tcPr>
          <w:p w:rsidR="00E1433B" w:rsidRPr="00121164" w:rsidRDefault="00E1433B" w:rsidP="00A402C3">
            <w:pPr>
              <w:jc w:val="center"/>
              <w:cnfStyle w:val="100000000000"/>
              <w:rPr>
                <w:rFonts w:cstheme="minorHAnsi"/>
                <w:b w:val="0"/>
              </w:rPr>
            </w:pPr>
            <w:r w:rsidRPr="00121164">
              <w:rPr>
                <w:rFonts w:cstheme="minorHAnsi"/>
                <w:b w:val="0"/>
              </w:rPr>
              <w:t>Iznos</w:t>
            </w:r>
            <w:r>
              <w:rPr>
                <w:rFonts w:cstheme="minorHAnsi"/>
                <w:b w:val="0"/>
              </w:rPr>
              <w:t xml:space="preserve"> (KM)</w:t>
            </w:r>
          </w:p>
        </w:tc>
      </w:tr>
      <w:tr w:rsidR="00E1433B" w:rsidRPr="00121164" w:rsidTr="00A402C3">
        <w:trPr>
          <w:cnfStyle w:val="000000100000"/>
        </w:trPr>
        <w:tc>
          <w:tcPr>
            <w:cnfStyle w:val="001000000000"/>
            <w:tcW w:w="4531" w:type="dxa"/>
          </w:tcPr>
          <w:p w:rsidR="00E1433B" w:rsidRPr="00121164" w:rsidRDefault="00004E63" w:rsidP="00A402C3">
            <w:pPr>
              <w:jc w:val="center"/>
              <w:rPr>
                <w:b w:val="0"/>
              </w:rPr>
            </w:pPr>
            <w:r>
              <w:rPr>
                <w:b w:val="0"/>
              </w:rPr>
              <w:t>Prihodi od poreza</w:t>
            </w:r>
          </w:p>
        </w:tc>
        <w:tc>
          <w:tcPr>
            <w:tcW w:w="4531" w:type="dxa"/>
          </w:tcPr>
          <w:p w:rsidR="00E1433B" w:rsidRPr="00BE3DD0" w:rsidRDefault="00004E63" w:rsidP="0071724B">
            <w:pPr>
              <w:jc w:val="center"/>
              <w:cnfStyle w:val="000000100000"/>
              <w:rPr>
                <w:rFonts w:eastAsia="Times New Roman" w:cs="Calibri"/>
                <w:color w:val="000000"/>
                <w:lang w:eastAsia="bs-Latn-BA"/>
              </w:rPr>
            </w:pPr>
            <w:r>
              <w:rPr>
                <w:rFonts w:eastAsia="Times New Roman" w:cs="Calibri"/>
                <w:color w:val="000000"/>
                <w:lang w:eastAsia="bs-Latn-BA"/>
              </w:rPr>
              <w:t>5.750.899,00</w:t>
            </w:r>
          </w:p>
        </w:tc>
      </w:tr>
      <w:tr w:rsidR="00E1433B" w:rsidRPr="00BE3DD0" w:rsidTr="00A402C3">
        <w:trPr>
          <w:trHeight w:val="300"/>
        </w:trPr>
        <w:tc>
          <w:tcPr>
            <w:cnfStyle w:val="001000000000"/>
            <w:tcW w:w="4531" w:type="dxa"/>
            <w:noWrap/>
            <w:hideMark/>
          </w:tcPr>
          <w:p w:rsidR="00E1433B" w:rsidRPr="00121164" w:rsidRDefault="00E1433B" w:rsidP="00A402C3">
            <w:pPr>
              <w:jc w:val="center"/>
              <w:rPr>
                <w:b w:val="0"/>
              </w:rPr>
            </w:pPr>
            <w:r>
              <w:rPr>
                <w:b w:val="0"/>
              </w:rPr>
              <w:t>Neoporezivi prihodi</w:t>
            </w:r>
          </w:p>
        </w:tc>
        <w:tc>
          <w:tcPr>
            <w:tcW w:w="4531" w:type="dxa"/>
            <w:noWrap/>
          </w:tcPr>
          <w:p w:rsidR="00E1433B" w:rsidRPr="00BE3DD0" w:rsidRDefault="0071724B" w:rsidP="00004E63">
            <w:pPr>
              <w:jc w:val="center"/>
              <w:cnfStyle w:val="000000000000"/>
              <w:rPr>
                <w:rFonts w:eastAsia="Times New Roman" w:cs="Calibri"/>
                <w:color w:val="000000"/>
                <w:lang w:eastAsia="bs-Latn-BA"/>
              </w:rPr>
            </w:pPr>
            <w:r>
              <w:rPr>
                <w:rFonts w:eastAsia="Times New Roman" w:cs="Calibri"/>
                <w:color w:val="000000"/>
                <w:lang w:eastAsia="bs-Latn-BA"/>
              </w:rPr>
              <w:t>2.15</w:t>
            </w:r>
            <w:r w:rsidR="00004E63">
              <w:rPr>
                <w:rFonts w:eastAsia="Times New Roman" w:cs="Calibri"/>
                <w:color w:val="000000"/>
                <w:lang w:eastAsia="bs-Latn-BA"/>
              </w:rPr>
              <w:t>0</w:t>
            </w:r>
            <w:r>
              <w:rPr>
                <w:rFonts w:eastAsia="Times New Roman" w:cs="Calibri"/>
                <w:color w:val="000000"/>
                <w:lang w:eastAsia="bs-Latn-BA"/>
              </w:rPr>
              <w:t>.500,00</w:t>
            </w:r>
          </w:p>
        </w:tc>
      </w:tr>
      <w:tr w:rsidR="00E1433B" w:rsidRPr="00BE3DD0" w:rsidTr="00A402C3">
        <w:trPr>
          <w:cnfStyle w:val="000000100000"/>
          <w:trHeight w:val="300"/>
        </w:trPr>
        <w:tc>
          <w:tcPr>
            <w:cnfStyle w:val="001000000000"/>
            <w:tcW w:w="4531" w:type="dxa"/>
            <w:noWrap/>
            <w:hideMark/>
          </w:tcPr>
          <w:p w:rsidR="00E1433B" w:rsidRPr="00121164" w:rsidRDefault="00004E63" w:rsidP="00A402C3">
            <w:pPr>
              <w:jc w:val="center"/>
              <w:rPr>
                <w:b w:val="0"/>
              </w:rPr>
            </w:pPr>
            <w:r>
              <w:rPr>
                <w:b w:val="0"/>
              </w:rPr>
              <w:t>Porez na dohodak</w:t>
            </w:r>
          </w:p>
        </w:tc>
        <w:tc>
          <w:tcPr>
            <w:tcW w:w="4531" w:type="dxa"/>
            <w:noWrap/>
          </w:tcPr>
          <w:p w:rsidR="00E1433B" w:rsidRPr="00BE3DD0" w:rsidRDefault="00004E63" w:rsidP="00A402C3">
            <w:pPr>
              <w:jc w:val="center"/>
              <w:cnfStyle w:val="000000100000"/>
              <w:rPr>
                <w:rFonts w:eastAsia="Times New Roman" w:cs="Calibri"/>
                <w:color w:val="000000"/>
                <w:lang w:eastAsia="bs-Latn-BA"/>
              </w:rPr>
            </w:pPr>
            <w:r>
              <w:rPr>
                <w:rFonts w:eastAsia="Times New Roman" w:cs="Calibri"/>
                <w:color w:val="000000"/>
                <w:lang w:eastAsia="bs-Latn-BA"/>
              </w:rPr>
              <w:t>1.091.500,00</w:t>
            </w:r>
          </w:p>
        </w:tc>
      </w:tr>
      <w:tr w:rsidR="00E1433B" w:rsidRPr="00BE3DD0" w:rsidTr="00A402C3">
        <w:trPr>
          <w:trHeight w:val="300"/>
        </w:trPr>
        <w:tc>
          <w:tcPr>
            <w:cnfStyle w:val="001000000000"/>
            <w:tcW w:w="4531" w:type="dxa"/>
            <w:noWrap/>
            <w:hideMark/>
          </w:tcPr>
          <w:p w:rsidR="00E1433B" w:rsidRPr="00121164" w:rsidRDefault="00004E63" w:rsidP="00A402C3">
            <w:pPr>
              <w:jc w:val="center"/>
              <w:rPr>
                <w:b w:val="0"/>
              </w:rPr>
            </w:pPr>
            <w:r>
              <w:rPr>
                <w:b w:val="0"/>
              </w:rPr>
              <w:t xml:space="preserve">Prihodi od indirektnih poreza </w:t>
            </w:r>
          </w:p>
        </w:tc>
        <w:tc>
          <w:tcPr>
            <w:tcW w:w="4531" w:type="dxa"/>
            <w:noWrap/>
          </w:tcPr>
          <w:p w:rsidR="00E1433B" w:rsidRPr="00BE3DD0" w:rsidRDefault="00004E63" w:rsidP="00A402C3">
            <w:pPr>
              <w:jc w:val="center"/>
              <w:cnfStyle w:val="000000000000"/>
              <w:rPr>
                <w:rFonts w:eastAsia="Times New Roman" w:cs="Calibri"/>
                <w:color w:val="000000"/>
                <w:lang w:eastAsia="bs-Latn-BA"/>
              </w:rPr>
            </w:pPr>
            <w:r>
              <w:rPr>
                <w:rFonts w:eastAsia="Times New Roman" w:cs="Calibri"/>
                <w:color w:val="000000"/>
                <w:lang w:eastAsia="bs-Latn-BA"/>
              </w:rPr>
              <w:t>4.031.949,00</w:t>
            </w:r>
          </w:p>
        </w:tc>
      </w:tr>
      <w:tr w:rsidR="00E1433B" w:rsidRPr="00BE3DD0" w:rsidTr="00A402C3">
        <w:trPr>
          <w:cnfStyle w:val="000000100000"/>
          <w:trHeight w:val="300"/>
        </w:trPr>
        <w:tc>
          <w:tcPr>
            <w:cnfStyle w:val="001000000000"/>
            <w:tcW w:w="4531" w:type="dxa"/>
            <w:noWrap/>
            <w:hideMark/>
          </w:tcPr>
          <w:p w:rsidR="00E1433B" w:rsidRPr="00121164" w:rsidRDefault="00E1433B" w:rsidP="00A402C3">
            <w:pPr>
              <w:jc w:val="center"/>
              <w:rPr>
                <w:b w:val="0"/>
              </w:rPr>
            </w:pPr>
            <w:r>
              <w:rPr>
                <w:b w:val="0"/>
              </w:rPr>
              <w:t>Višak prihoda iz 2020.</w:t>
            </w:r>
          </w:p>
        </w:tc>
        <w:tc>
          <w:tcPr>
            <w:tcW w:w="4531" w:type="dxa"/>
            <w:noWrap/>
          </w:tcPr>
          <w:p w:rsidR="00E1433B" w:rsidRPr="00BE3DD0" w:rsidRDefault="00E1433B" w:rsidP="00A402C3">
            <w:pPr>
              <w:jc w:val="center"/>
              <w:cnfStyle w:val="000000100000"/>
              <w:rPr>
                <w:rFonts w:eastAsia="Times New Roman" w:cs="Calibri"/>
                <w:color w:val="000000"/>
                <w:lang w:eastAsia="bs-Latn-BA"/>
              </w:rPr>
            </w:pPr>
            <w:r>
              <w:rPr>
                <w:rFonts w:eastAsia="Times New Roman" w:cs="Calibri"/>
                <w:color w:val="000000"/>
                <w:lang w:eastAsia="bs-Latn-BA"/>
              </w:rPr>
              <w:t xml:space="preserve"> 500.000</w:t>
            </w:r>
          </w:p>
        </w:tc>
      </w:tr>
      <w:tr w:rsidR="00E1433B" w:rsidRPr="00BE3DD0" w:rsidTr="00A402C3">
        <w:trPr>
          <w:trHeight w:val="300"/>
        </w:trPr>
        <w:tc>
          <w:tcPr>
            <w:cnfStyle w:val="001000000000"/>
            <w:tcW w:w="4531" w:type="dxa"/>
            <w:noWrap/>
            <w:hideMark/>
          </w:tcPr>
          <w:p w:rsidR="00E1433B" w:rsidRPr="00121164" w:rsidRDefault="00004E63" w:rsidP="00A402C3">
            <w:pPr>
              <w:jc w:val="center"/>
              <w:rPr>
                <w:b w:val="0"/>
              </w:rPr>
            </w:pPr>
            <w:r>
              <w:rPr>
                <w:b w:val="0"/>
              </w:rPr>
              <w:t>Primljeni tekući transferi od vlada, međ.organizacija, .</w:t>
            </w:r>
          </w:p>
        </w:tc>
        <w:tc>
          <w:tcPr>
            <w:tcW w:w="4531" w:type="dxa"/>
            <w:noWrap/>
          </w:tcPr>
          <w:p w:rsidR="00E1433B" w:rsidRPr="00BE3DD0" w:rsidRDefault="00004E63" w:rsidP="00A402C3">
            <w:pPr>
              <w:jc w:val="center"/>
              <w:cnfStyle w:val="000000000000"/>
              <w:rPr>
                <w:rFonts w:eastAsia="Times New Roman" w:cs="Calibri"/>
                <w:color w:val="000000"/>
                <w:lang w:eastAsia="bs-Latn-BA"/>
              </w:rPr>
            </w:pPr>
            <w:r>
              <w:rPr>
                <w:rFonts w:eastAsia="Times New Roman" w:cs="Calibri"/>
                <w:color w:val="000000"/>
                <w:lang w:eastAsia="bs-Latn-BA"/>
              </w:rPr>
              <w:t>1.945.000,00</w:t>
            </w:r>
          </w:p>
        </w:tc>
      </w:tr>
      <w:tr w:rsidR="00E1433B" w:rsidRPr="00BE3DD0" w:rsidTr="00A402C3">
        <w:trPr>
          <w:cnfStyle w:val="000000100000"/>
          <w:trHeight w:val="300"/>
        </w:trPr>
        <w:tc>
          <w:tcPr>
            <w:cnfStyle w:val="001000000000"/>
            <w:tcW w:w="4531" w:type="dxa"/>
            <w:noWrap/>
            <w:hideMark/>
          </w:tcPr>
          <w:p w:rsidR="00E1433B" w:rsidRPr="00121164" w:rsidRDefault="00E1433B" w:rsidP="00A402C3">
            <w:pPr>
              <w:jc w:val="center"/>
              <w:rPr>
                <w:b w:val="0"/>
              </w:rPr>
            </w:pPr>
            <w:r>
              <w:rPr>
                <w:b w:val="0"/>
              </w:rPr>
              <w:t>Ukupno prihoda</w:t>
            </w:r>
          </w:p>
        </w:tc>
        <w:tc>
          <w:tcPr>
            <w:tcW w:w="4531" w:type="dxa"/>
            <w:noWrap/>
          </w:tcPr>
          <w:p w:rsidR="00E1433B" w:rsidRPr="00BE3DD0" w:rsidRDefault="00004E63" w:rsidP="00A402C3">
            <w:pPr>
              <w:jc w:val="center"/>
              <w:cnfStyle w:val="000000100000"/>
              <w:rPr>
                <w:rFonts w:eastAsia="Times New Roman" w:cs="Calibri"/>
                <w:color w:val="000000"/>
                <w:lang w:eastAsia="bs-Latn-BA"/>
              </w:rPr>
            </w:pPr>
            <w:r>
              <w:rPr>
                <w:rFonts w:eastAsia="Times New Roman" w:cs="Calibri"/>
                <w:color w:val="000000"/>
                <w:lang w:eastAsia="bs-Latn-BA"/>
              </w:rPr>
              <w:t>12.361.399,00</w:t>
            </w:r>
          </w:p>
        </w:tc>
      </w:tr>
    </w:tbl>
    <w:p w:rsidR="00E1433B" w:rsidRDefault="00E1433B" w:rsidP="00E1433B">
      <w:pPr>
        <w:jc w:val="center"/>
        <w:rPr>
          <w:rFonts w:cstheme="minorHAnsi"/>
          <w:b/>
        </w:rPr>
      </w:pPr>
      <w:r w:rsidRPr="00121164">
        <w:rPr>
          <w:rFonts w:cstheme="minorHAnsi"/>
          <w:b/>
        </w:rPr>
        <w:t xml:space="preserve">Tabela </w:t>
      </w:r>
      <w:r>
        <w:rPr>
          <w:rFonts w:cstheme="minorHAnsi"/>
          <w:b/>
        </w:rPr>
        <w:t>5</w:t>
      </w:r>
      <w:r w:rsidRPr="00121164">
        <w:rPr>
          <w:rFonts w:cstheme="minorHAnsi"/>
          <w:b/>
        </w:rPr>
        <w:t xml:space="preserve">: Vrste prihoda i iznosi </w:t>
      </w:r>
      <w:r w:rsidR="00004E63">
        <w:rPr>
          <w:rFonts w:cstheme="minorHAnsi"/>
          <w:b/>
        </w:rPr>
        <w:t>–izvod iz budžeta</w:t>
      </w:r>
    </w:p>
    <w:p w:rsidR="00004E63" w:rsidRDefault="00004E63" w:rsidP="00E1433B">
      <w:pPr>
        <w:jc w:val="center"/>
        <w:rPr>
          <w:rFonts w:cstheme="minorHAnsi"/>
          <w:b/>
        </w:rPr>
      </w:pPr>
    </w:p>
    <w:p w:rsidR="00E1433B" w:rsidRPr="00E87AA9" w:rsidRDefault="00E1433B" w:rsidP="00E1433B">
      <w:pPr>
        <w:jc w:val="both"/>
        <w:rPr>
          <w:rFonts w:cstheme="minorHAnsi"/>
        </w:rPr>
      </w:pPr>
    </w:p>
    <w:tbl>
      <w:tblPr>
        <w:tblStyle w:val="GridTable4Accent1"/>
        <w:tblW w:w="0" w:type="auto"/>
        <w:tblLook w:val="04A0"/>
      </w:tblPr>
      <w:tblGrid>
        <w:gridCol w:w="4531"/>
        <w:gridCol w:w="4531"/>
      </w:tblGrid>
      <w:tr w:rsidR="00E1433B" w:rsidRPr="009463E2" w:rsidTr="00A402C3">
        <w:trPr>
          <w:cnfStyle w:val="100000000000"/>
        </w:trPr>
        <w:tc>
          <w:tcPr>
            <w:cnfStyle w:val="001000000000"/>
            <w:tcW w:w="4531" w:type="dxa"/>
          </w:tcPr>
          <w:p w:rsidR="00E1433B" w:rsidRPr="009463E2" w:rsidRDefault="00E1433B" w:rsidP="00A402C3">
            <w:pPr>
              <w:jc w:val="center"/>
              <w:rPr>
                <w:b w:val="0"/>
              </w:rPr>
            </w:pPr>
            <w:r w:rsidRPr="009463E2">
              <w:rPr>
                <w:b w:val="0"/>
              </w:rPr>
              <w:t>Vrste rashoda</w:t>
            </w:r>
          </w:p>
        </w:tc>
        <w:tc>
          <w:tcPr>
            <w:tcW w:w="4531" w:type="dxa"/>
          </w:tcPr>
          <w:p w:rsidR="00E1433B" w:rsidRPr="009463E2" w:rsidRDefault="00E1433B" w:rsidP="00A402C3">
            <w:pPr>
              <w:jc w:val="center"/>
              <w:cnfStyle w:val="100000000000"/>
              <w:rPr>
                <w:b w:val="0"/>
              </w:rPr>
            </w:pPr>
            <w:r w:rsidRPr="009463E2">
              <w:rPr>
                <w:b w:val="0"/>
              </w:rPr>
              <w:t>Iznos</w:t>
            </w:r>
            <w:r>
              <w:rPr>
                <w:b w:val="0"/>
              </w:rPr>
              <w:t xml:space="preserve"> (KM)</w:t>
            </w:r>
          </w:p>
        </w:tc>
      </w:tr>
      <w:tr w:rsidR="00004E63" w:rsidRPr="009463E2" w:rsidTr="00A402C3">
        <w:trPr>
          <w:cnfStyle w:val="000000100000"/>
        </w:trPr>
        <w:tc>
          <w:tcPr>
            <w:cnfStyle w:val="001000000000"/>
            <w:tcW w:w="4531" w:type="dxa"/>
          </w:tcPr>
          <w:p w:rsidR="00004E63" w:rsidRPr="009463E2" w:rsidRDefault="00004E63" w:rsidP="00004E63">
            <w:pPr>
              <w:jc w:val="center"/>
              <w:rPr>
                <w:b w:val="0"/>
              </w:rPr>
            </w:pPr>
            <w:r>
              <w:rPr>
                <w:b w:val="0"/>
              </w:rPr>
              <w:t>Bruto plaće i naknade plaća</w:t>
            </w:r>
          </w:p>
        </w:tc>
        <w:tc>
          <w:tcPr>
            <w:tcW w:w="4531" w:type="dxa"/>
          </w:tcPr>
          <w:p w:rsidR="00004E63" w:rsidRPr="009463E2" w:rsidRDefault="00004E63" w:rsidP="00A402C3">
            <w:pPr>
              <w:jc w:val="center"/>
              <w:cnfStyle w:val="000000100000"/>
            </w:pPr>
            <w:r>
              <w:t>2.730.344,45</w:t>
            </w:r>
          </w:p>
        </w:tc>
      </w:tr>
      <w:tr w:rsidR="00004E63" w:rsidRPr="009463E2" w:rsidTr="00A402C3">
        <w:tc>
          <w:tcPr>
            <w:cnfStyle w:val="001000000000"/>
            <w:tcW w:w="4531" w:type="dxa"/>
          </w:tcPr>
          <w:p w:rsidR="00004E63" w:rsidRPr="009463E2" w:rsidRDefault="00004E63" w:rsidP="00A402C3">
            <w:pPr>
              <w:jc w:val="center"/>
              <w:rPr>
                <w:b w:val="0"/>
              </w:rPr>
            </w:pPr>
            <w:r>
              <w:rPr>
                <w:b w:val="0"/>
              </w:rPr>
              <w:t>Naknade troškova zaposlenih</w:t>
            </w:r>
          </w:p>
        </w:tc>
        <w:tc>
          <w:tcPr>
            <w:tcW w:w="4531" w:type="dxa"/>
          </w:tcPr>
          <w:p w:rsidR="00004E63" w:rsidRPr="009463E2" w:rsidRDefault="00004E63" w:rsidP="00A402C3">
            <w:pPr>
              <w:jc w:val="center"/>
              <w:cnfStyle w:val="000000000000"/>
            </w:pPr>
            <w:r>
              <w:t>380.000,00</w:t>
            </w:r>
          </w:p>
        </w:tc>
      </w:tr>
      <w:tr w:rsidR="00004E63" w:rsidRPr="009463E2" w:rsidTr="00A402C3">
        <w:trPr>
          <w:cnfStyle w:val="000000100000"/>
        </w:trPr>
        <w:tc>
          <w:tcPr>
            <w:cnfStyle w:val="001000000000"/>
            <w:tcW w:w="4531" w:type="dxa"/>
          </w:tcPr>
          <w:p w:rsidR="00004E63" w:rsidRPr="009463E2" w:rsidRDefault="00004E63" w:rsidP="006C4622">
            <w:pPr>
              <w:jc w:val="center"/>
              <w:rPr>
                <w:b w:val="0"/>
              </w:rPr>
            </w:pPr>
            <w:r>
              <w:rPr>
                <w:b w:val="0"/>
              </w:rPr>
              <w:t>Izdaci za materijal</w:t>
            </w:r>
            <w:r w:rsidR="006C4622">
              <w:rPr>
                <w:b w:val="0"/>
              </w:rPr>
              <w:t>, sitni inventar i usluge</w:t>
            </w:r>
          </w:p>
        </w:tc>
        <w:tc>
          <w:tcPr>
            <w:tcW w:w="4531" w:type="dxa"/>
          </w:tcPr>
          <w:p w:rsidR="00004E63" w:rsidRPr="009463E2" w:rsidRDefault="006C4622" w:rsidP="00A402C3">
            <w:pPr>
              <w:jc w:val="center"/>
              <w:cnfStyle w:val="000000100000"/>
            </w:pPr>
            <w:r>
              <w:t>1.987.023,44</w:t>
            </w:r>
          </w:p>
        </w:tc>
      </w:tr>
      <w:tr w:rsidR="00004E63" w:rsidRPr="009463E2" w:rsidTr="00A402C3">
        <w:tc>
          <w:tcPr>
            <w:cnfStyle w:val="001000000000"/>
            <w:tcW w:w="4531" w:type="dxa"/>
          </w:tcPr>
          <w:p w:rsidR="00004E63" w:rsidRPr="009463E2" w:rsidRDefault="006C4622" w:rsidP="00A402C3">
            <w:pPr>
              <w:jc w:val="center"/>
              <w:rPr>
                <w:b w:val="0"/>
              </w:rPr>
            </w:pPr>
            <w:r>
              <w:rPr>
                <w:b w:val="0"/>
              </w:rPr>
              <w:t>Kapitalni izdaci</w:t>
            </w:r>
          </w:p>
        </w:tc>
        <w:tc>
          <w:tcPr>
            <w:tcW w:w="4531" w:type="dxa"/>
          </w:tcPr>
          <w:p w:rsidR="00004E63" w:rsidRPr="009463E2" w:rsidRDefault="006C4622" w:rsidP="00A402C3">
            <w:pPr>
              <w:jc w:val="center"/>
              <w:cnfStyle w:val="000000000000"/>
            </w:pPr>
            <w:r>
              <w:t>2.957.602,00</w:t>
            </w:r>
          </w:p>
        </w:tc>
      </w:tr>
      <w:tr w:rsidR="00004E63" w:rsidRPr="009463E2" w:rsidTr="00A402C3">
        <w:trPr>
          <w:cnfStyle w:val="000000100000"/>
        </w:trPr>
        <w:tc>
          <w:tcPr>
            <w:cnfStyle w:val="001000000000"/>
            <w:tcW w:w="4531" w:type="dxa"/>
          </w:tcPr>
          <w:p w:rsidR="00004E63" w:rsidRPr="009463E2" w:rsidRDefault="006C4622" w:rsidP="00A402C3">
            <w:pPr>
              <w:jc w:val="center"/>
              <w:rPr>
                <w:b w:val="0"/>
              </w:rPr>
            </w:pPr>
            <w:r>
              <w:rPr>
                <w:b w:val="0"/>
              </w:rPr>
              <w:t xml:space="preserve">Izdaci za ugovorene i druge usluge </w:t>
            </w:r>
          </w:p>
        </w:tc>
        <w:tc>
          <w:tcPr>
            <w:tcW w:w="4531" w:type="dxa"/>
          </w:tcPr>
          <w:p w:rsidR="00004E63" w:rsidRPr="009463E2" w:rsidRDefault="006C4622" w:rsidP="00A402C3">
            <w:pPr>
              <w:jc w:val="center"/>
              <w:cnfStyle w:val="000000100000"/>
            </w:pPr>
            <w:r>
              <w:t>758.600,00</w:t>
            </w:r>
          </w:p>
        </w:tc>
      </w:tr>
      <w:tr w:rsidR="006C4622" w:rsidRPr="009463E2" w:rsidTr="00A402C3">
        <w:tc>
          <w:tcPr>
            <w:cnfStyle w:val="001000000000"/>
            <w:tcW w:w="4531" w:type="dxa"/>
          </w:tcPr>
          <w:p w:rsidR="006C4622" w:rsidRDefault="00E87D08" w:rsidP="00A402C3">
            <w:pPr>
              <w:jc w:val="center"/>
              <w:rPr>
                <w:b w:val="0"/>
              </w:rPr>
            </w:pPr>
            <w:r>
              <w:rPr>
                <w:b w:val="0"/>
              </w:rPr>
              <w:t xml:space="preserve">Tekući transferi </w:t>
            </w:r>
          </w:p>
        </w:tc>
        <w:tc>
          <w:tcPr>
            <w:tcW w:w="4531" w:type="dxa"/>
          </w:tcPr>
          <w:p w:rsidR="006C4622" w:rsidRDefault="00E87D08" w:rsidP="00A402C3">
            <w:pPr>
              <w:jc w:val="center"/>
              <w:cnfStyle w:val="000000000000"/>
            </w:pPr>
            <w:r>
              <w:t>3.851.950,00</w:t>
            </w:r>
          </w:p>
        </w:tc>
      </w:tr>
      <w:tr w:rsidR="006C4622" w:rsidRPr="009463E2" w:rsidTr="00A402C3">
        <w:trPr>
          <w:cnfStyle w:val="000000100000"/>
        </w:trPr>
        <w:tc>
          <w:tcPr>
            <w:cnfStyle w:val="001000000000"/>
            <w:tcW w:w="4531" w:type="dxa"/>
          </w:tcPr>
          <w:p w:rsidR="006C4622" w:rsidRPr="009463E2" w:rsidRDefault="006C4622" w:rsidP="00A402C3">
            <w:pPr>
              <w:jc w:val="center"/>
              <w:rPr>
                <w:b w:val="0"/>
              </w:rPr>
            </w:pPr>
            <w:r>
              <w:rPr>
                <w:b w:val="0"/>
              </w:rPr>
              <w:t>Tekuće rezerve</w:t>
            </w:r>
          </w:p>
        </w:tc>
        <w:tc>
          <w:tcPr>
            <w:tcW w:w="4531" w:type="dxa"/>
          </w:tcPr>
          <w:p w:rsidR="006C4622" w:rsidRPr="009463E2" w:rsidRDefault="006C4622" w:rsidP="00A402C3">
            <w:pPr>
              <w:jc w:val="center"/>
              <w:cnfStyle w:val="000000100000"/>
            </w:pPr>
            <w:r>
              <w:t>50.000,00</w:t>
            </w:r>
          </w:p>
        </w:tc>
      </w:tr>
      <w:tr w:rsidR="006C4622" w:rsidRPr="009463E2" w:rsidTr="00A402C3">
        <w:tc>
          <w:tcPr>
            <w:cnfStyle w:val="001000000000"/>
            <w:tcW w:w="4531" w:type="dxa"/>
          </w:tcPr>
          <w:p w:rsidR="006C4622" w:rsidRPr="009463E2" w:rsidRDefault="006C4622" w:rsidP="00A402C3">
            <w:pPr>
              <w:jc w:val="center"/>
              <w:rPr>
                <w:b w:val="0"/>
              </w:rPr>
            </w:pPr>
          </w:p>
        </w:tc>
        <w:tc>
          <w:tcPr>
            <w:tcW w:w="4531" w:type="dxa"/>
          </w:tcPr>
          <w:p w:rsidR="006C4622" w:rsidRPr="009463E2" w:rsidRDefault="006C4622" w:rsidP="00A402C3">
            <w:pPr>
              <w:jc w:val="center"/>
              <w:cnfStyle w:val="000000000000"/>
            </w:pPr>
          </w:p>
        </w:tc>
      </w:tr>
      <w:tr w:rsidR="006C4622" w:rsidRPr="009463E2" w:rsidTr="00A402C3">
        <w:trPr>
          <w:cnfStyle w:val="000000100000"/>
        </w:trPr>
        <w:tc>
          <w:tcPr>
            <w:cnfStyle w:val="001000000000"/>
            <w:tcW w:w="4531" w:type="dxa"/>
          </w:tcPr>
          <w:p w:rsidR="006C4622" w:rsidRPr="009463E2" w:rsidRDefault="006C4622" w:rsidP="00A402C3">
            <w:pPr>
              <w:jc w:val="center"/>
              <w:rPr>
                <w:b w:val="0"/>
              </w:rPr>
            </w:pPr>
            <w:r>
              <w:rPr>
                <w:b w:val="0"/>
              </w:rPr>
              <w:t>Ukupni rashodi</w:t>
            </w:r>
          </w:p>
        </w:tc>
        <w:tc>
          <w:tcPr>
            <w:tcW w:w="4531" w:type="dxa"/>
          </w:tcPr>
          <w:p w:rsidR="006C4622" w:rsidRPr="009463E2" w:rsidRDefault="00E87D08" w:rsidP="00A402C3">
            <w:pPr>
              <w:jc w:val="center"/>
              <w:cnfStyle w:val="000000100000"/>
            </w:pPr>
            <w:r>
              <w:rPr>
                <w:rFonts w:eastAsia="Times New Roman" w:cs="Calibri"/>
                <w:color w:val="000000"/>
                <w:lang w:eastAsia="bs-Latn-BA"/>
              </w:rPr>
              <w:t>12.361.399,00</w:t>
            </w:r>
          </w:p>
        </w:tc>
      </w:tr>
    </w:tbl>
    <w:p w:rsidR="00E1433B" w:rsidRDefault="00E1433B" w:rsidP="00E1433B">
      <w:pPr>
        <w:jc w:val="center"/>
        <w:rPr>
          <w:b/>
        </w:rPr>
      </w:pPr>
      <w:r w:rsidRPr="000F383D">
        <w:rPr>
          <w:b/>
        </w:rPr>
        <w:t>Tabela 5: Vrste rashoda i iznosi</w:t>
      </w:r>
      <w:r w:rsidR="006C4622">
        <w:rPr>
          <w:b/>
        </w:rPr>
        <w:t xml:space="preserve"> –izvod iz budžeta</w:t>
      </w:r>
    </w:p>
    <w:p w:rsidR="00E1433B" w:rsidRDefault="00E1433B" w:rsidP="00E1433B">
      <w:pPr>
        <w:jc w:val="both"/>
      </w:pPr>
      <w:r w:rsidRPr="00E87D08">
        <w:t xml:space="preserve">Za općinu </w:t>
      </w:r>
      <w:r w:rsidR="00E87D08" w:rsidRPr="00E87D08">
        <w:t>Zavidoviće</w:t>
      </w:r>
      <w:r w:rsidRPr="00E87D08">
        <w:t xml:space="preserve"> karakteristično da se za plaće i naknade za zaposlene potroši oko 25% Budžeta , što je u odnosu</w:t>
      </w:r>
      <w:r>
        <w:t xml:space="preserve"> na druge općine i gradove velika ušteda budžeta. Analizirajući budžete u posljednjih nekoliko godina nastavljen je kontinuitet jednakih primitaka i izdataka na godišnjem nivou. Iako je budžet usvajan u vrijeme pandemije nije došlo do smanjenja prihoda</w:t>
      </w:r>
      <w:r w:rsidR="00E87D08">
        <w:t xml:space="preserve">. </w:t>
      </w:r>
      <w:r>
        <w:t xml:space="preserve">Kapitalni izdaci su ove godine </w:t>
      </w:r>
      <w:r w:rsidR="00E87D08">
        <w:t>vrlo malo umanjeni.</w:t>
      </w:r>
      <w:r>
        <w:t xml:space="preserve"> Tekući transferi za MZ planirani su</w:t>
      </w:r>
      <w:r w:rsidR="00E87D08">
        <w:t xml:space="preserve"> umanjeni u odnosu na prošlu godinu i u ov</w:t>
      </w:r>
      <w:r w:rsidR="00FD77F9">
        <w:t>oj godini je planirano 60.000 KM</w:t>
      </w:r>
      <w:r w:rsidR="00E87D08">
        <w:t xml:space="preserve"> , što je zaista</w:t>
      </w:r>
      <w:r w:rsidR="00FD77F9">
        <w:t xml:space="preserve"> skromno i nedovoljno za rad MZ, a za podršku projektima u MZ –a planirano je 10.000 KM.</w:t>
      </w:r>
      <w:r w:rsidR="00433537">
        <w:t xml:space="preserve"> Transfer za stipendije prema ministarstvima za boračka pitanja i obrazovanje  je planiran u iznosu od 370.000 KM.</w:t>
      </w:r>
    </w:p>
    <w:p w:rsidR="00E1433B" w:rsidRDefault="00E1433B" w:rsidP="00E1433B">
      <w:pPr>
        <w:rPr>
          <w:b/>
        </w:rPr>
      </w:pPr>
    </w:p>
    <w:p w:rsidR="00E1433B" w:rsidRDefault="00E1433B" w:rsidP="00E1433B">
      <w:pPr>
        <w:pStyle w:val="Naslov1"/>
        <w:shd w:val="clear" w:color="auto" w:fill="0F243E"/>
        <w:spacing w:before="0" w:line="240" w:lineRule="auto"/>
        <w:jc w:val="center"/>
        <w:rPr>
          <w:rFonts w:asciiTheme="minorHAnsi" w:hAnsiTheme="minorHAnsi" w:cstheme="minorHAnsi"/>
          <w:color w:val="FFFFFF"/>
          <w:sz w:val="24"/>
          <w:szCs w:val="24"/>
        </w:rPr>
      </w:pPr>
      <w:bookmarkStart w:id="3" w:name="_Toc76047730"/>
      <w:r>
        <w:rPr>
          <w:rFonts w:asciiTheme="minorHAnsi" w:hAnsiTheme="minorHAnsi" w:cstheme="minorHAnsi"/>
          <w:color w:val="FFFFFF"/>
          <w:sz w:val="24"/>
          <w:szCs w:val="24"/>
        </w:rPr>
        <w:t>HORIZONTALNA USPOREDBA</w:t>
      </w:r>
      <w:bookmarkEnd w:id="3"/>
    </w:p>
    <w:p w:rsidR="00E1433B" w:rsidRPr="004C5342" w:rsidRDefault="00E1433B" w:rsidP="00E1433B">
      <w:pPr>
        <w:jc w:val="center"/>
      </w:pPr>
    </w:p>
    <w:p w:rsidR="00E1433B" w:rsidRPr="004C5342" w:rsidRDefault="00E1433B" w:rsidP="00E1433B">
      <w:pPr>
        <w:jc w:val="both"/>
        <w:rPr>
          <w:rFonts w:cstheme="minorHAnsi"/>
        </w:rPr>
      </w:pPr>
      <w:r w:rsidRPr="00575851">
        <w:rPr>
          <w:rFonts w:cstheme="minorHAnsi"/>
        </w:rPr>
        <w:t>Kako bi dali usporedni</w:t>
      </w:r>
      <w:r w:rsidRPr="004C5342">
        <w:rPr>
          <w:rFonts w:cstheme="minorHAnsi"/>
        </w:rPr>
        <w:t xml:space="preserve"> prikaz teritorijalno administrativnih jedinica lokalne samouprave, sličnih po obimu i strukturi, broju stanovnika i proračunu, prikazaćemo uporedne rezulate rada </w:t>
      </w:r>
      <w:r>
        <w:rPr>
          <w:rFonts w:cstheme="minorHAnsi"/>
        </w:rPr>
        <w:t xml:space="preserve">Općina </w:t>
      </w:r>
      <w:r w:rsidR="00575851">
        <w:rPr>
          <w:rFonts w:cstheme="minorHAnsi"/>
        </w:rPr>
        <w:t>Maglaj i Žepče.</w:t>
      </w:r>
    </w:p>
    <w:p w:rsidR="00E1433B" w:rsidRDefault="00E1433B" w:rsidP="00E1433B">
      <w:pPr>
        <w:jc w:val="both"/>
        <w:rPr>
          <w:rFonts w:cstheme="minorHAnsi"/>
        </w:rPr>
      </w:pPr>
      <w:r>
        <w:rPr>
          <w:rFonts w:cstheme="minorHAnsi"/>
        </w:rPr>
        <w:t xml:space="preserve">Iznos i struktura Budžeta ove dvije lokalne samouprave su vrlo slični, s tim što je planirani Budžet </w:t>
      </w:r>
      <w:r w:rsidR="00575851">
        <w:rPr>
          <w:rFonts w:cstheme="minorHAnsi"/>
        </w:rPr>
        <w:t>Zavidoviće veći za 3 do 4 miliona KM,  procenti za plaće i naknade su vrlo slični, transferi neprofitnim organizacijama su brojčano vrlo veliki. Kontinuitet održavanja sjednica OV je sličan, održane su pet sjednica i u ovim lokalnim samoupravama, ali je za Zavidoviće karakteristično da su  sjednice i vrijeme trajanja rasprava puno duže trajali , gotovo iscrpljujuće za neke vijećnike, o čemu treba voditi računa u narednom periodu.</w:t>
      </w:r>
    </w:p>
    <w:p w:rsidR="00E1433B" w:rsidRDefault="00E1433B" w:rsidP="00E1433B">
      <w:pPr>
        <w:jc w:val="center"/>
        <w:rPr>
          <w:rFonts w:ascii="Times New Roman" w:hAnsi="Times New Roman"/>
          <w:b/>
        </w:rPr>
      </w:pPr>
    </w:p>
    <w:p w:rsidR="00E1433B" w:rsidRDefault="00E1433B" w:rsidP="00E1433B">
      <w:pPr>
        <w:pStyle w:val="Naslov1"/>
        <w:shd w:val="clear" w:color="auto" w:fill="0F243E"/>
        <w:spacing w:before="0" w:line="240" w:lineRule="auto"/>
        <w:jc w:val="center"/>
        <w:rPr>
          <w:rFonts w:asciiTheme="minorHAnsi" w:hAnsiTheme="minorHAnsi" w:cstheme="minorHAnsi"/>
          <w:color w:val="FFFFFF"/>
          <w:sz w:val="24"/>
          <w:szCs w:val="24"/>
        </w:rPr>
      </w:pPr>
      <w:bookmarkStart w:id="4" w:name="_Toc76047731"/>
      <w:r>
        <w:rPr>
          <w:rFonts w:asciiTheme="minorHAnsi" w:hAnsiTheme="minorHAnsi" w:cstheme="minorHAnsi"/>
          <w:color w:val="FFFFFF"/>
          <w:sz w:val="24"/>
          <w:szCs w:val="24"/>
        </w:rPr>
        <w:t>USPOREDBA S PRETHODNIM MANDATOM</w:t>
      </w:r>
      <w:bookmarkEnd w:id="4"/>
    </w:p>
    <w:p w:rsidR="00E1433B" w:rsidRDefault="00E1433B" w:rsidP="00E1433B">
      <w:pPr>
        <w:jc w:val="center"/>
      </w:pPr>
    </w:p>
    <w:p w:rsidR="00E1433B" w:rsidRPr="00135DD1" w:rsidRDefault="00E1433B" w:rsidP="00E1433B">
      <w:pPr>
        <w:jc w:val="both"/>
      </w:pPr>
      <w:r w:rsidRPr="00135DD1">
        <w:t xml:space="preserve">Ako usporedimo rad aktualnog </w:t>
      </w:r>
      <w:r>
        <w:t>Općinskog</w:t>
      </w:r>
      <w:r w:rsidRPr="00135DD1">
        <w:t xml:space="preserve"> vijeća sa radom u prvih šest mjeseci prethodnog mandata </w:t>
      </w:r>
      <w:r>
        <w:t xml:space="preserve">vidljivo je </w:t>
      </w:r>
      <w:r w:rsidRPr="00135DD1">
        <w:t xml:space="preserve">da je </w:t>
      </w:r>
      <w:r w:rsidR="00575851">
        <w:t xml:space="preserve">u periodu prošlog mandata 2016.-2020. prvih šest sjednica održano do kraja marta mjeseca 2017., dok je za prvih šest mjeseci održano ukupno 9 sjednica. Prijedlog Budžeta i Program rada  OV za 2017.g su razmatrani i usvojeni do kraja </w:t>
      </w:r>
      <w:r w:rsidR="00C81263">
        <w:t>2016.godine, što je u skladu sa zakonom i poslovnikom o radu OV.  Za oba mandata je karakteristično da u OV participira veći broj političkih subjekata, u prošlom mandatu osam, a u ovom mandatu devet.</w:t>
      </w:r>
      <w:r>
        <w:t xml:space="preserve">  </w:t>
      </w:r>
      <w:r w:rsidR="00C81263">
        <w:t>U ovom mandatu SDA je izgubila pet mandata , sa 11 na 6, dok je SDP ostala na istom broju 7. Mandata u oba saziva.</w:t>
      </w:r>
    </w:p>
    <w:p w:rsidR="00E1433B" w:rsidRPr="009463E2" w:rsidRDefault="00E1433B" w:rsidP="00E1433B">
      <w:pPr>
        <w:jc w:val="center"/>
      </w:pPr>
    </w:p>
    <w:p w:rsidR="00E1433B" w:rsidRPr="000C3374" w:rsidRDefault="00E1433B" w:rsidP="00E1433B">
      <w:pPr>
        <w:pStyle w:val="Naslov1"/>
        <w:shd w:val="clear" w:color="auto" w:fill="0F243E"/>
        <w:spacing w:before="0" w:line="240" w:lineRule="auto"/>
        <w:jc w:val="center"/>
        <w:rPr>
          <w:rFonts w:ascii="Arial" w:hAnsi="Arial" w:cs="Arial"/>
          <w:color w:val="FFFFFF"/>
          <w:sz w:val="24"/>
          <w:szCs w:val="24"/>
        </w:rPr>
      </w:pPr>
      <w:bookmarkStart w:id="5" w:name="_Toc76047732"/>
      <w:r>
        <w:rPr>
          <w:rFonts w:ascii="Arial" w:hAnsi="Arial" w:cs="Arial"/>
          <w:color w:val="FFFFFF"/>
          <w:sz w:val="24"/>
          <w:szCs w:val="24"/>
        </w:rPr>
        <w:t>UČEŠĆE GRAĐANA I JAVNE RASPRAVE</w:t>
      </w:r>
      <w:bookmarkEnd w:id="5"/>
    </w:p>
    <w:p w:rsidR="00E1433B" w:rsidRDefault="00E1433B" w:rsidP="00E1433B">
      <w:pPr>
        <w:jc w:val="both"/>
      </w:pPr>
    </w:p>
    <w:p w:rsidR="00E1433B" w:rsidRPr="009E248F" w:rsidRDefault="00E1433B" w:rsidP="00E1433B">
      <w:pPr>
        <w:jc w:val="both"/>
        <w:rPr>
          <w:rFonts w:cstheme="minorHAnsi"/>
        </w:rPr>
      </w:pPr>
      <w:r w:rsidRPr="009E248F">
        <w:rPr>
          <w:rFonts w:cstheme="minorHAnsi"/>
        </w:rPr>
        <w:t>Učešće građa</w:t>
      </w:r>
      <w:r>
        <w:rPr>
          <w:rFonts w:cstheme="minorHAnsi"/>
        </w:rPr>
        <w:t>na kroz javno dostupne i definir</w:t>
      </w:r>
      <w:r w:rsidRPr="009E248F">
        <w:rPr>
          <w:rFonts w:cstheme="minorHAnsi"/>
        </w:rPr>
        <w:t>ane mehanizme učešća su potrebni kako bi građani kroz javne rasprave koje organizuje lokalna samouprava</w:t>
      </w:r>
      <w:r>
        <w:rPr>
          <w:rFonts w:cstheme="minorHAnsi"/>
        </w:rPr>
        <w:t xml:space="preserve"> </w:t>
      </w:r>
      <w:r w:rsidRPr="009E248F">
        <w:rPr>
          <w:rFonts w:cstheme="minorHAnsi"/>
        </w:rPr>
        <w:t>imali prigodu sudjelovati u kreiranj</w:t>
      </w:r>
      <w:r>
        <w:rPr>
          <w:rFonts w:cstheme="minorHAnsi"/>
        </w:rPr>
        <w:t>u povoljnog životnog okruženja</w:t>
      </w:r>
      <w:r w:rsidRPr="009E248F">
        <w:rPr>
          <w:rFonts w:cstheme="minorHAnsi"/>
        </w:rPr>
        <w:t>.</w:t>
      </w:r>
    </w:p>
    <w:p w:rsidR="00E1433B" w:rsidRDefault="00E1433B" w:rsidP="00E1433B">
      <w:pPr>
        <w:jc w:val="both"/>
        <w:rPr>
          <w:rFonts w:cstheme="minorHAnsi"/>
        </w:rPr>
      </w:pPr>
      <w:r w:rsidRPr="009E248F">
        <w:rPr>
          <w:rFonts w:cstheme="minorHAnsi"/>
        </w:rPr>
        <w:t xml:space="preserve">U </w:t>
      </w:r>
      <w:r w:rsidR="0034335B">
        <w:rPr>
          <w:rFonts w:cstheme="minorHAnsi"/>
        </w:rPr>
        <w:t xml:space="preserve">promatranom razdoblju je održane su tri javne rasprave koje su najavljivane putem zvanične web stranice općine. Prva </w:t>
      </w:r>
      <w:r w:rsidRPr="009E248F">
        <w:rPr>
          <w:rFonts w:cstheme="minorHAnsi"/>
        </w:rPr>
        <w:t>Javna rasprava</w:t>
      </w:r>
      <w:r w:rsidR="0034335B">
        <w:rPr>
          <w:rFonts w:cstheme="minorHAnsi"/>
        </w:rPr>
        <w:t xml:space="preserve"> bila je u februaru,( 09. I 10.02)  po </w:t>
      </w:r>
      <w:r>
        <w:rPr>
          <w:rFonts w:cstheme="minorHAnsi"/>
        </w:rPr>
        <w:t xml:space="preserve"> Nacrtu Budžeta za 2021.g. </w:t>
      </w:r>
      <w:r w:rsidR="0034335B">
        <w:rPr>
          <w:rFonts w:cstheme="minorHAnsi"/>
        </w:rPr>
        <w:t xml:space="preserve">Druge dvije javne rasprave su održane na temelju Zaključaka sa 2. Redovne sjednice OV, a provedene su 16. I 26. marta. Teme rasprava su bile po Nacrtu odluke o usvajanju planova potencijalnih projekata javno-privatnog partnerstva i Nacrt Odluke usvajanju Stretegije održive urbane mobilnosti općine. U maju je objavljen Javni poziv za dodjelu općinskih podsticaja za transfer razvoja poljoprivrede, koji je planiran u </w:t>
      </w:r>
      <w:r w:rsidR="004F279E">
        <w:rPr>
          <w:rFonts w:cstheme="minorHAnsi"/>
        </w:rPr>
        <w:t>B</w:t>
      </w:r>
      <w:r w:rsidR="0034335B">
        <w:rPr>
          <w:rFonts w:cstheme="minorHAnsi"/>
        </w:rPr>
        <w:t>udžetu</w:t>
      </w:r>
      <w:r w:rsidR="004F279E">
        <w:rPr>
          <w:rFonts w:cstheme="minorHAnsi"/>
        </w:rPr>
        <w:t xml:space="preserve"> za 2021.g.</w:t>
      </w:r>
      <w:r w:rsidR="0034335B">
        <w:rPr>
          <w:rFonts w:cstheme="minorHAnsi"/>
        </w:rPr>
        <w:t xml:space="preserve">  </w:t>
      </w:r>
    </w:p>
    <w:p w:rsidR="00E1433B" w:rsidRPr="009E248F" w:rsidRDefault="00E1433B" w:rsidP="00E1433B">
      <w:pPr>
        <w:jc w:val="both"/>
        <w:rPr>
          <w:rFonts w:cstheme="minorHAnsi"/>
        </w:rPr>
      </w:pPr>
      <w:r>
        <w:rPr>
          <w:rFonts w:cstheme="minorHAnsi"/>
        </w:rPr>
        <w:t xml:space="preserve"> </w:t>
      </w:r>
      <w:r w:rsidRPr="009E248F">
        <w:rPr>
          <w:rFonts w:cstheme="minorHAnsi"/>
          <w:shd w:val="clear" w:color="auto" w:fill="FFFFFF"/>
        </w:rPr>
        <w:t xml:space="preserve"> </w:t>
      </w:r>
    </w:p>
    <w:p w:rsidR="00E1433B" w:rsidRPr="00950D42" w:rsidRDefault="00E1433B" w:rsidP="00E1433B">
      <w:pPr>
        <w:jc w:val="both"/>
      </w:pPr>
    </w:p>
    <w:p w:rsidR="00E1433B" w:rsidRPr="000C3374" w:rsidRDefault="00E1433B" w:rsidP="00E1433B">
      <w:pPr>
        <w:pStyle w:val="Naslov1"/>
        <w:shd w:val="clear" w:color="auto" w:fill="0F243E"/>
        <w:spacing w:before="0" w:line="240" w:lineRule="auto"/>
        <w:jc w:val="center"/>
        <w:rPr>
          <w:rFonts w:ascii="Arial" w:hAnsi="Arial" w:cs="Arial"/>
          <w:color w:val="FFFFFF"/>
          <w:sz w:val="24"/>
          <w:szCs w:val="24"/>
        </w:rPr>
      </w:pPr>
      <w:bookmarkStart w:id="6" w:name="_Toc76047733"/>
      <w:r>
        <w:rPr>
          <w:rFonts w:ascii="Arial" w:hAnsi="Arial" w:cs="Arial"/>
          <w:color w:val="FFFFFF"/>
          <w:sz w:val="24"/>
          <w:szCs w:val="24"/>
        </w:rPr>
        <w:t>PREPORUKE I INICIJATIVE</w:t>
      </w:r>
      <w:bookmarkEnd w:id="6"/>
    </w:p>
    <w:p w:rsidR="00E1433B" w:rsidRDefault="00E1433B" w:rsidP="00E1433B">
      <w:pPr>
        <w:jc w:val="both"/>
        <w:rPr>
          <w:b/>
          <w:sz w:val="18"/>
          <w:szCs w:val="18"/>
        </w:rPr>
      </w:pPr>
    </w:p>
    <w:p w:rsidR="00E1433B" w:rsidRPr="005772D9" w:rsidRDefault="00E1433B" w:rsidP="00E1433B">
      <w:pPr>
        <w:jc w:val="both"/>
      </w:pPr>
      <w:r w:rsidRPr="005772D9">
        <w:t xml:space="preserve">Poslovnikom o radu </w:t>
      </w:r>
      <w:r>
        <w:t>Općinskog</w:t>
      </w:r>
      <w:r w:rsidRPr="005772D9">
        <w:t xml:space="preserve"> vijeća </w:t>
      </w:r>
      <w:r>
        <w:t>GVU</w:t>
      </w:r>
      <w:r w:rsidRPr="005772D9">
        <w:t xml:space="preserve"> nije definiran rok za usvajanje godišnjeg Programa rada</w:t>
      </w:r>
      <w:r>
        <w:t>, tako da bi jedna od preporuka bila da se donesu izmjene i dopune  Poslovniku o radu OV i definira okvirni rok za usvajanje, do kraja tekuće godine za narednu godinu.</w:t>
      </w:r>
    </w:p>
    <w:p w:rsidR="00E1433B" w:rsidRDefault="00E1433B" w:rsidP="00E1433B">
      <w:pPr>
        <w:jc w:val="both"/>
      </w:pPr>
      <w:r w:rsidRPr="005772D9">
        <w:t xml:space="preserve">Programa rada </w:t>
      </w:r>
      <w:r>
        <w:t>Općinskog</w:t>
      </w:r>
      <w:r w:rsidRPr="005772D9">
        <w:t xml:space="preserve"> vijeća za 2021.godinu ne sadržava mjere koje se bave pitanjima mladih. </w:t>
      </w:r>
      <w:r>
        <w:t>S obzirom da su CCI uputili Inicijativu za izradu dokumenta koji će se baviti ključnim pitanjima mladih</w:t>
      </w:r>
      <w:r w:rsidR="00C81263">
        <w:t xml:space="preserve"> u oblasti kulture</w:t>
      </w:r>
      <w:r>
        <w:t xml:space="preserve">, naša preporuka bi bila da se u narednoj godini u Programu rada uvrste aktivnosti i mjere za </w:t>
      </w:r>
      <w:r w:rsidRPr="005772D9">
        <w:t xml:space="preserve"> </w:t>
      </w:r>
      <w:r>
        <w:t>aktivnije učešće mladih u donošenju odluka</w:t>
      </w:r>
      <w:r w:rsidR="00C8395C">
        <w:t xml:space="preserve"> kao i unapređenju načina i metoda  komunikacije sa mladim ljudima u Zavidovićima. </w:t>
      </w:r>
    </w:p>
    <w:p w:rsidR="00942660" w:rsidRDefault="00942660" w:rsidP="00E1433B">
      <w:pPr>
        <w:jc w:val="both"/>
      </w:pPr>
      <w:r>
        <w:t xml:space="preserve">Iako web stranica općine sadrži  dovoljno informacija o radu OV preporuka je da se ubuduće informacije i zaključci sa sjednica OV objavljuju pomoću drugih kanala, putem društvenih mreža, kako bi mladi ljudi, koji uglavnom  ne posjećuju zvanične web stranice, dobili informacije i na taj način, aktivirali dvosmjernu komunikaciju i mogućnost komentara , prijedloga i sugestija o zaključcima OV.    </w:t>
      </w:r>
    </w:p>
    <w:p w:rsidR="00E1433B" w:rsidRDefault="00E1433B" w:rsidP="00E1433B">
      <w:pPr>
        <w:jc w:val="both"/>
      </w:pPr>
      <w:r>
        <w:t>Planiranje i donošenje Budžeta za 2022.trebalo bi okončati do kraja tekuće godine i nastaviti praksu usvajanja budžeta na temelju zakona.</w:t>
      </w:r>
      <w:r w:rsidRPr="005772D9">
        <w:t xml:space="preserve"> </w:t>
      </w:r>
      <w:r>
        <w:t xml:space="preserve"> Programom rada OV za 2021.planirano je da se </w:t>
      </w:r>
      <w:r w:rsidR="00942660">
        <w:t>B</w:t>
      </w:r>
      <w:r>
        <w:t xml:space="preserve">udžet za 2022.g. usvoji u </w:t>
      </w:r>
      <w:r w:rsidR="00942660">
        <w:t xml:space="preserve">decembru </w:t>
      </w:r>
      <w:r>
        <w:t xml:space="preserve">, tako da je preporuka da se planirana dinamika usvajanja najvažnijeg akta lokalne samouprave u potpunosti poštuje.  </w:t>
      </w:r>
    </w:p>
    <w:p w:rsidR="00E1433B" w:rsidRDefault="00A23560" w:rsidP="00E1433B">
      <w:pPr>
        <w:jc w:val="both"/>
        <w:rPr>
          <w:rFonts w:cs="Calibri"/>
          <w:b/>
        </w:rPr>
      </w:pPr>
      <w:r>
        <w:t xml:space="preserve">Što se tiče dužine trajanja sjednica i rasprava na sjednicama, preporuka je da se na Kolegiju postigne konsenzus oko najvažnijih tačaka dnevnog reda i mjera , kako bi sjednice bile efikasnije, kraće trajale, a rasprave se vodile u skladu sa poslovnikom o radu. </w:t>
      </w:r>
      <w:r w:rsidR="00E1433B">
        <w:t xml:space="preserve"> </w:t>
      </w:r>
    </w:p>
    <w:sectPr w:rsidR="00E1433B" w:rsidSect="00867A6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FCD" w:rsidRDefault="007E5FCD" w:rsidP="005E42AD">
      <w:pPr>
        <w:spacing w:after="0" w:line="240" w:lineRule="auto"/>
      </w:pPr>
      <w:r>
        <w:separator/>
      </w:r>
    </w:p>
  </w:endnote>
  <w:endnote w:type="continuationSeparator" w:id="1">
    <w:p w:rsidR="007E5FCD" w:rsidRDefault="007E5FCD" w:rsidP="005E42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FCD" w:rsidRDefault="007E5FCD" w:rsidP="005E42AD">
      <w:pPr>
        <w:spacing w:after="0" w:line="240" w:lineRule="auto"/>
      </w:pPr>
      <w:r>
        <w:separator/>
      </w:r>
    </w:p>
  </w:footnote>
  <w:footnote w:type="continuationSeparator" w:id="1">
    <w:p w:rsidR="007E5FCD" w:rsidRDefault="007E5FCD" w:rsidP="005E42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B6517"/>
    <w:multiLevelType w:val="hybridMultilevel"/>
    <w:tmpl w:val="4818481C"/>
    <w:lvl w:ilvl="0" w:tplc="CB42577A">
      <w:start w:val="15"/>
      <w:numFmt w:val="bullet"/>
      <w:lvlText w:val=""/>
      <w:lvlJc w:val="left"/>
      <w:pPr>
        <w:ind w:left="720" w:hanging="360"/>
      </w:pPr>
      <w:rPr>
        <w:rFonts w:ascii="Symbol" w:eastAsiaTheme="minorHAnsi" w:hAnsi="Symbol" w:cs="Arial" w:hint="default"/>
        <w:b/>
        <w:sz w:val="18"/>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5E42AD"/>
    <w:rsid w:val="00002A1A"/>
    <w:rsid w:val="00004E63"/>
    <w:rsid w:val="00130023"/>
    <w:rsid w:val="003036D6"/>
    <w:rsid w:val="00332858"/>
    <w:rsid w:val="0034335B"/>
    <w:rsid w:val="0036033E"/>
    <w:rsid w:val="00373AC3"/>
    <w:rsid w:val="0038454C"/>
    <w:rsid w:val="003E2382"/>
    <w:rsid w:val="0040669C"/>
    <w:rsid w:val="00430A45"/>
    <w:rsid w:val="00433537"/>
    <w:rsid w:val="00437B43"/>
    <w:rsid w:val="00452C86"/>
    <w:rsid w:val="00471951"/>
    <w:rsid w:val="004822A6"/>
    <w:rsid w:val="00490547"/>
    <w:rsid w:val="004D43F9"/>
    <w:rsid w:val="004F279E"/>
    <w:rsid w:val="0056701C"/>
    <w:rsid w:val="00575851"/>
    <w:rsid w:val="005812B8"/>
    <w:rsid w:val="005B6E3B"/>
    <w:rsid w:val="005C285B"/>
    <w:rsid w:val="005E42AD"/>
    <w:rsid w:val="00673AA7"/>
    <w:rsid w:val="006949F6"/>
    <w:rsid w:val="00696D61"/>
    <w:rsid w:val="006B7075"/>
    <w:rsid w:val="006C25E6"/>
    <w:rsid w:val="006C4622"/>
    <w:rsid w:val="006D2DBC"/>
    <w:rsid w:val="0071724B"/>
    <w:rsid w:val="0079382E"/>
    <w:rsid w:val="007E5FCD"/>
    <w:rsid w:val="00815448"/>
    <w:rsid w:val="00867A67"/>
    <w:rsid w:val="00940C1A"/>
    <w:rsid w:val="00942660"/>
    <w:rsid w:val="009A1697"/>
    <w:rsid w:val="009C048B"/>
    <w:rsid w:val="009C7283"/>
    <w:rsid w:val="00A11496"/>
    <w:rsid w:val="00A23560"/>
    <w:rsid w:val="00A402C3"/>
    <w:rsid w:val="00A66408"/>
    <w:rsid w:val="00AF5D58"/>
    <w:rsid w:val="00B82AA5"/>
    <w:rsid w:val="00BD06B8"/>
    <w:rsid w:val="00BD0932"/>
    <w:rsid w:val="00BD0C19"/>
    <w:rsid w:val="00C3503F"/>
    <w:rsid w:val="00C81263"/>
    <w:rsid w:val="00C8395C"/>
    <w:rsid w:val="00CE1A26"/>
    <w:rsid w:val="00CF4F2C"/>
    <w:rsid w:val="00D04B0E"/>
    <w:rsid w:val="00D35B41"/>
    <w:rsid w:val="00D71FC3"/>
    <w:rsid w:val="00DA7E1F"/>
    <w:rsid w:val="00DB3D9B"/>
    <w:rsid w:val="00DF386C"/>
    <w:rsid w:val="00E1433B"/>
    <w:rsid w:val="00E87D08"/>
    <w:rsid w:val="00EA55DD"/>
    <w:rsid w:val="00ED58A9"/>
    <w:rsid w:val="00EE6C98"/>
    <w:rsid w:val="00F07E92"/>
    <w:rsid w:val="00F2211A"/>
    <w:rsid w:val="00FD77F9"/>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2AD"/>
    <w:pPr>
      <w:spacing w:after="160" w:line="259" w:lineRule="auto"/>
    </w:pPr>
    <w:rPr>
      <w:lang w:val="bs-Latn-BA"/>
    </w:rPr>
  </w:style>
  <w:style w:type="paragraph" w:styleId="Naslov1">
    <w:name w:val="heading 1"/>
    <w:basedOn w:val="Normal"/>
    <w:next w:val="Normal"/>
    <w:link w:val="Naslov1Char"/>
    <w:qFormat/>
    <w:rsid w:val="005E42AD"/>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5E42AD"/>
    <w:rPr>
      <w:rFonts w:asciiTheme="majorHAnsi" w:eastAsiaTheme="majorEastAsia" w:hAnsiTheme="majorHAnsi" w:cstheme="majorBidi"/>
      <w:b/>
      <w:bCs/>
      <w:color w:val="365F91" w:themeColor="accent1" w:themeShade="BF"/>
      <w:sz w:val="28"/>
      <w:szCs w:val="28"/>
      <w:lang w:val="bs-Latn-BA"/>
    </w:rPr>
  </w:style>
  <w:style w:type="paragraph" w:styleId="Tekstfusnote">
    <w:name w:val="footnote text"/>
    <w:aliases w:val="Footnote Text Char1,Footnote Text Char Char,Fußnotentext Char Char2 Char,Char Char1 Char2 Char,Fußnotentext Char Char Char1 Char,Char Char1 Char Char1 Char,Fußnotentext Char Char Char Char Char,Char Char1 Char Char Char Char,Fußnote"/>
    <w:basedOn w:val="Normal"/>
    <w:link w:val="TekstfusnoteChar"/>
    <w:unhideWhenUsed/>
    <w:rsid w:val="005E42AD"/>
    <w:pPr>
      <w:spacing w:after="0" w:line="240" w:lineRule="auto"/>
    </w:pPr>
    <w:rPr>
      <w:sz w:val="20"/>
      <w:szCs w:val="20"/>
    </w:rPr>
  </w:style>
  <w:style w:type="character" w:customStyle="1" w:styleId="TekstfusnoteChar">
    <w:name w:val="Tekst fusnote Char"/>
    <w:aliases w:val="Footnote Text Char1 Char,Footnote Text Char Char Char,Fußnotentext Char Char2 Char Char,Char Char1 Char2 Char Char,Fußnotentext Char Char Char1 Char Char,Char Char1 Char Char1 Char Char,Fußnotentext Char Char Char Char Char Char"/>
    <w:basedOn w:val="Zadanifontodlomka"/>
    <w:link w:val="Tekstfusnote"/>
    <w:rsid w:val="005E42AD"/>
    <w:rPr>
      <w:sz w:val="20"/>
      <w:szCs w:val="20"/>
      <w:lang w:val="bs-Latn-BA"/>
    </w:rPr>
  </w:style>
  <w:style w:type="character" w:styleId="Referencafusnote">
    <w:name w:val="footnote reference"/>
    <w:aliases w:val="BVI fnr,ftref"/>
    <w:basedOn w:val="Zadanifontodlomka"/>
    <w:unhideWhenUsed/>
    <w:rsid w:val="005E42AD"/>
    <w:rPr>
      <w:vertAlign w:val="superscript"/>
    </w:rPr>
  </w:style>
  <w:style w:type="table" w:customStyle="1" w:styleId="ListTable4Accent1">
    <w:name w:val="List Table 4 Accent 1"/>
    <w:basedOn w:val="Obinatablica"/>
    <w:uiPriority w:val="49"/>
    <w:rsid w:val="005E42AD"/>
    <w:pPr>
      <w:spacing w:after="0" w:line="240" w:lineRule="auto"/>
    </w:pPr>
    <w:rPr>
      <w:lang w:val="bs-Latn-B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kstbalonia">
    <w:name w:val="Balloon Text"/>
    <w:basedOn w:val="Normal"/>
    <w:link w:val="TekstbaloniaChar"/>
    <w:uiPriority w:val="99"/>
    <w:semiHidden/>
    <w:unhideWhenUsed/>
    <w:rsid w:val="009C728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C7283"/>
    <w:rPr>
      <w:rFonts w:ascii="Tahoma" w:hAnsi="Tahoma" w:cs="Tahoma"/>
      <w:sz w:val="16"/>
      <w:szCs w:val="16"/>
      <w:lang w:val="bs-Latn-BA"/>
    </w:rPr>
  </w:style>
  <w:style w:type="table" w:customStyle="1" w:styleId="GridTable4Accent1">
    <w:name w:val="Grid Table 4 Accent 1"/>
    <w:basedOn w:val="Obinatablica"/>
    <w:uiPriority w:val="49"/>
    <w:rsid w:val="00373AC3"/>
    <w:pPr>
      <w:spacing w:after="0" w:line="240" w:lineRule="auto"/>
    </w:pPr>
    <w:rPr>
      <w:lang w:val="bs-Latn-B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Odlomakpopisa">
    <w:name w:val="List Paragraph"/>
    <w:basedOn w:val="Normal"/>
    <w:uiPriority w:val="34"/>
    <w:qFormat/>
    <w:rsid w:val="00940C1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Radni_list_programa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Radni_list_programa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Radni_list_programa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r-BA"/>
  <c:chart>
    <c:title>
      <c:tx>
        <c:rich>
          <a:bodyPr/>
          <a:lstStyle/>
          <a:p>
            <a:pPr>
              <a:defRPr/>
            </a:pPr>
            <a:r>
              <a:rPr lang="hr-BA"/>
              <a:t>Broj mandata OV Zavidovići</a:t>
            </a:r>
            <a:endParaRPr lang="en-US"/>
          </a:p>
        </c:rich>
      </c:tx>
      <c:layout>
        <c:manualLayout>
          <c:xMode val="edge"/>
          <c:yMode val="edge"/>
          <c:x val="0.44969907407407428"/>
          <c:y val="0"/>
        </c:manualLayout>
      </c:layout>
    </c:title>
    <c:plotArea>
      <c:layout>
        <c:manualLayout>
          <c:layoutTarget val="inner"/>
          <c:xMode val="edge"/>
          <c:yMode val="edge"/>
          <c:x val="0.20795785943423778"/>
          <c:y val="0.21021841019872592"/>
          <c:w val="0.46070592738407806"/>
          <c:h val="0.789781589801273"/>
        </c:manualLayout>
      </c:layout>
      <c:pieChart>
        <c:varyColors val="1"/>
        <c:ser>
          <c:idx val="0"/>
          <c:order val="0"/>
          <c:tx>
            <c:strRef>
              <c:f>List1!$B$1</c:f>
              <c:strCache>
                <c:ptCount val="1"/>
                <c:pt idx="0">
                  <c:v>Prodaja</c:v>
                </c:pt>
              </c:strCache>
            </c:strRef>
          </c:tx>
          <c:dLbls>
            <c:showVal val="1"/>
            <c:showLeaderLines val="1"/>
          </c:dLbls>
          <c:cat>
            <c:strRef>
              <c:f>List1!$A$2:$A$10</c:f>
              <c:strCache>
                <c:ptCount val="9"/>
                <c:pt idx="0">
                  <c:v>SDP</c:v>
                </c:pt>
                <c:pt idx="1">
                  <c:v>SDA</c:v>
                </c:pt>
                <c:pt idx="2">
                  <c:v>NBI</c:v>
                </c:pt>
                <c:pt idx="3">
                  <c:v>ASDA</c:v>
                </c:pt>
                <c:pt idx="4">
                  <c:v>SBB</c:v>
                </c:pt>
                <c:pt idx="5">
                  <c:v>PDA</c:v>
                </c:pt>
                <c:pt idx="6">
                  <c:v>SP/U</c:v>
                </c:pt>
                <c:pt idx="7">
                  <c:v>SBIH</c:v>
                </c:pt>
                <c:pt idx="8">
                  <c:v>GDS</c:v>
                </c:pt>
              </c:strCache>
            </c:strRef>
          </c:cat>
          <c:val>
            <c:numRef>
              <c:f>List1!$B$2:$B$10</c:f>
              <c:numCache>
                <c:formatCode>General</c:formatCode>
                <c:ptCount val="9"/>
                <c:pt idx="0">
                  <c:v>7</c:v>
                </c:pt>
                <c:pt idx="1">
                  <c:v>6</c:v>
                </c:pt>
                <c:pt idx="2">
                  <c:v>5</c:v>
                </c:pt>
                <c:pt idx="3">
                  <c:v>3</c:v>
                </c:pt>
                <c:pt idx="4">
                  <c:v>2</c:v>
                </c:pt>
                <c:pt idx="5">
                  <c:v>1</c:v>
                </c:pt>
                <c:pt idx="6">
                  <c:v>1</c:v>
                </c:pt>
                <c:pt idx="7">
                  <c:v>2</c:v>
                </c:pt>
                <c:pt idx="8">
                  <c:v>2</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hr-BA"/>
  <c:chart>
    <c:title>
      <c:tx>
        <c:rich>
          <a:bodyPr/>
          <a:lstStyle/>
          <a:p>
            <a:pPr>
              <a:defRPr/>
            </a:pPr>
            <a:r>
              <a:rPr lang="hr-BA"/>
              <a:t>Spolna struktura OV Zavidovići</a:t>
            </a:r>
            <a:endParaRPr lang="en-US"/>
          </a:p>
        </c:rich>
      </c:tx>
    </c:title>
    <c:view3D>
      <c:rotX val="30"/>
      <c:perspective val="30"/>
    </c:view3D>
    <c:plotArea>
      <c:layout/>
      <c:pie3DChart>
        <c:varyColors val="1"/>
        <c:ser>
          <c:idx val="0"/>
          <c:order val="0"/>
          <c:tx>
            <c:strRef>
              <c:f>List1!$B$1</c:f>
              <c:strCache>
                <c:ptCount val="1"/>
                <c:pt idx="0">
                  <c:v>Prodaja</c:v>
                </c:pt>
              </c:strCache>
            </c:strRef>
          </c:tx>
          <c:dLbls>
            <c:showVal val="1"/>
            <c:showLeaderLines val="1"/>
          </c:dLbls>
          <c:cat>
            <c:strRef>
              <c:f>List1!$A$2:$A$5</c:f>
              <c:strCache>
                <c:ptCount val="2"/>
                <c:pt idx="0">
                  <c:v>Muškarci</c:v>
                </c:pt>
                <c:pt idx="1">
                  <c:v>Žene</c:v>
                </c:pt>
              </c:strCache>
            </c:strRef>
          </c:cat>
          <c:val>
            <c:numRef>
              <c:f>List1!$B$2:$B$5</c:f>
              <c:numCache>
                <c:formatCode>General</c:formatCode>
                <c:ptCount val="4"/>
                <c:pt idx="0">
                  <c:v>27</c:v>
                </c:pt>
                <c:pt idx="1">
                  <c:v>2</c:v>
                </c:pt>
              </c:numCache>
            </c:numRef>
          </c:val>
        </c:ser>
      </c:pie3DChart>
    </c:plotArea>
    <c:legend>
      <c:legendPos val="r"/>
      <c:legendEntry>
        <c:idx val="2"/>
        <c:delete val="1"/>
      </c:legendEntry>
      <c:legendEntry>
        <c:idx val="3"/>
        <c:delete val="1"/>
      </c:legendEntry>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hr-BA"/>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bs-Latn-BA" b="1">
                <a:solidFill>
                  <a:sysClr val="windowText" lastClr="000000"/>
                </a:solidFill>
              </a:rPr>
              <a:t>Sjednice Općinskog vijeća Zavidovići održane od</a:t>
            </a:r>
            <a:r>
              <a:rPr lang="bs-Latn-BA" b="1" baseline="0">
                <a:solidFill>
                  <a:sysClr val="windowText" lastClr="000000"/>
                </a:solidFill>
              </a:rPr>
              <a:t> </a:t>
            </a:r>
          </a:p>
          <a:p>
            <a:pPr>
              <a:defRPr lang="en-US" sz="1400" b="0" i="0" u="none" strike="noStrike" kern="1200" spc="0" baseline="0">
                <a:solidFill>
                  <a:schemeClr val="tx1">
                    <a:lumMod val="65000"/>
                    <a:lumOff val="35000"/>
                  </a:schemeClr>
                </a:solidFill>
                <a:latin typeface="+mn-lt"/>
                <a:ea typeface="+mn-ea"/>
                <a:cs typeface="+mn-cs"/>
              </a:defRPr>
            </a:pPr>
            <a:r>
              <a:rPr lang="bs-Latn-BA" b="1" baseline="0">
                <a:solidFill>
                  <a:sysClr val="windowText" lastClr="000000"/>
                </a:solidFill>
              </a:rPr>
              <a:t>1.1.-30.6.2021. godine po tipovima</a:t>
            </a:r>
            <a:endParaRPr lang="en-US" b="1">
              <a:solidFill>
                <a:sysClr val="windowText" lastClr="000000"/>
              </a:solidFill>
            </a:endParaRP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Sales</c:v>
                </c:pt>
              </c:strCache>
            </c:strRef>
          </c:tx>
          <c:dPt>
            <c:idx val="0"/>
            <c:explosion val="11"/>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Lbls>
            <c:dLbl>
              <c:idx val="0"/>
              <c:layout>
                <c:manualLayout>
                  <c:x val="1.367399387576536E-2"/>
                  <c:y val="-3.0899887514060975E-2"/>
                </c:manualLayout>
              </c:layout>
              <c:dLblPos val="bestFit"/>
              <c:showVal val="1"/>
              <c:extLst>
                <c:ext xmlns:c15="http://schemas.microsoft.com/office/drawing/2012/chart" uri="{CE6537A1-D6FC-4f65-9D91-7224C49458BB}"/>
              </c:extLst>
            </c:dLbl>
            <c:dLbl>
              <c:idx val="1"/>
              <c:layout>
                <c:manualLayout>
                  <c:x val="-2.4290974044911054E-2"/>
                  <c:y val="-8.4208223972003747E-3"/>
                </c:manualLayout>
              </c:layout>
              <c:dLblPos val="bestFi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ysClr val="windowText" lastClr="000000"/>
                    </a:solidFill>
                    <a:latin typeface="+mn-lt"/>
                    <a:ea typeface="+mn-ea"/>
                    <a:cs typeface="+mn-cs"/>
                  </a:defRPr>
                </a:pPr>
                <a:endParaRPr lang="sr-Latn-CS"/>
              </a:p>
            </c:txPr>
            <c:dLblPos val="bestFit"/>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kontituirajuća </c:v>
                </c:pt>
                <c:pt idx="1">
                  <c:v>redovna</c:v>
                </c:pt>
              </c:strCache>
            </c:strRef>
          </c:cat>
          <c:val>
            <c:numRef>
              <c:f>Sheet1!$B$2:$B$3</c:f>
              <c:numCache>
                <c:formatCode>General</c:formatCode>
                <c:ptCount val="2"/>
                <c:pt idx="0">
                  <c:v>1</c:v>
                </c:pt>
                <c:pt idx="1">
                  <c:v>6</c:v>
                </c:pt>
              </c:numCache>
            </c:numRef>
          </c:val>
        </c:ser>
        <c:dLbls>
          <c:showVal val="1"/>
        </c:dLbls>
      </c:pie3DChart>
      <c:spPr>
        <a:noFill/>
        <a:ln>
          <a:noFill/>
        </a:ln>
        <a:effectLst/>
      </c:spPr>
    </c:plotArea>
    <c:legend>
      <c:legendPos val="b"/>
      <c:layout>
        <c:manualLayout>
          <c:xMode val="edge"/>
          <c:yMode val="edge"/>
          <c:x val="0.38460848643919532"/>
          <c:y val="0.91716222972128081"/>
          <c:w val="0.29795330271216097"/>
          <c:h val="6.6964754405699295E-2"/>
        </c:manualLayout>
      </c:layout>
      <c:spPr>
        <a:noFill/>
        <a:ln>
          <a:noFill/>
        </a:ln>
        <a:effectLst/>
      </c:spPr>
      <c:txPr>
        <a:bodyPr rot="0" spcFirstLastPara="1" vertOverflow="ellipsis" vert="horz" wrap="square" anchor="ctr" anchorCtr="1"/>
        <a:lstStyle/>
        <a:p>
          <a:pPr>
            <a:defRPr lang="en-US" sz="900" b="1" i="0" u="none" strike="noStrike" kern="1200" baseline="0">
              <a:solidFill>
                <a:sysClr val="windowText" lastClr="000000"/>
              </a:solidFill>
              <a:latin typeface="+mn-lt"/>
              <a:ea typeface="+mn-ea"/>
              <a:cs typeface="+mn-cs"/>
            </a:defRPr>
          </a:pPr>
          <a:endParaRPr lang="sr-Latn-C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sr-Latn-CS"/>
    </a:p>
  </c:txPr>
  <c:externalData r:id="rId1"/>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Pages>12</Pages>
  <Words>3417</Words>
  <Characters>19478</Characters>
  <Application>Microsoft Office Word</Application>
  <DocSecurity>0</DocSecurity>
  <Lines>162</Lines>
  <Paragraphs>45</Paragraphs>
  <ScaleCrop>false</ScaleCrop>
  <HeadingPairs>
    <vt:vector size="4" baseType="variant">
      <vt:variant>
        <vt:lpstr>Naslov</vt:lpstr>
      </vt:variant>
      <vt:variant>
        <vt:i4>1</vt:i4>
      </vt:variant>
      <vt:variant>
        <vt:lpstr>Naslovi</vt:lpstr>
      </vt:variant>
      <vt:variant>
        <vt:i4>8</vt:i4>
      </vt:variant>
    </vt:vector>
  </HeadingPairs>
  <TitlesOfParts>
    <vt:vector size="9" baseType="lpstr">
      <vt:lpstr/>
      <vt:lpstr>UVOD	</vt:lpstr>
      <vt:lpstr>SASTAV OPĆINSKOG VIJEĆA ZAVIDOVIĆI	</vt:lpstr>
      <vt:lpstr>OSNOVNE INFORMACIJE O RADU OPĆINSKOG VIJEĆA – dinamika rada	</vt:lpstr>
      <vt:lpstr>KLJUČNI DOKUMENTI ZA FUNKCIONIRANJE LOKALNE VLASTI</vt:lpstr>
      <vt:lpstr>HORIZONTALNA USPOREDBA</vt:lpstr>
      <vt:lpstr>USPOREDBA S PRETHODNIM MANDATOM</vt:lpstr>
      <vt:lpstr>UČEŠĆE GRAĐANA I JAVNE RASPRAVE</vt:lpstr>
      <vt:lpstr>PREPORUKE I INICIJATIVE</vt:lpstr>
    </vt:vector>
  </TitlesOfParts>
  <Company/>
  <LinksUpToDate>false</LinksUpToDate>
  <CharactersWithSpaces>22850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40</cp:revision>
  <dcterms:created xsi:type="dcterms:W3CDTF">2021-07-13T08:51:00Z</dcterms:created>
  <dcterms:modified xsi:type="dcterms:W3CDTF">2021-07-21T13:32:00Z</dcterms:modified>
</cp:coreProperties>
</file>